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8"/>
      </w:tblGrid>
      <w:tr w:rsidR="00150D36" w:rsidRPr="00AC1EFB" w:rsidTr="00AC1EFB">
        <w:tc>
          <w:tcPr>
            <w:tcW w:w="13608" w:type="dxa"/>
            <w:shd w:val="clear" w:color="auto" w:fill="auto"/>
          </w:tcPr>
          <w:p w:rsidR="00150D36" w:rsidRPr="00AC1EFB" w:rsidRDefault="002C7DA6" w:rsidP="00AC1EFB">
            <w:pPr>
              <w:pStyle w:val="Heading1"/>
              <w:ind w:left="972" w:hanging="972"/>
              <w:jc w:val="center"/>
              <w:rPr>
                <w:rFonts w:ascii="Times New Roman" w:hAnsi="Times New Roman"/>
                <w:sz w:val="36"/>
                <w:szCs w:val="36"/>
              </w:rPr>
            </w:pPr>
            <w:r w:rsidRPr="00AC1EFB">
              <w:rPr>
                <w:rFonts w:ascii="Times New Roman" w:hAnsi="Times New Roman"/>
                <w:sz w:val="36"/>
                <w:szCs w:val="36"/>
              </w:rPr>
              <w:t xml:space="preserve">ALDENHAM PARISH COUNCIL </w:t>
            </w:r>
          </w:p>
        </w:tc>
      </w:tr>
    </w:tbl>
    <w:p w:rsidR="00150D36" w:rsidRDefault="00150D36" w:rsidP="00150D36">
      <w:pPr>
        <w:pStyle w:val="Heading1"/>
        <w:rPr>
          <w:b w:val="0"/>
        </w:rPr>
      </w:pP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6520"/>
      </w:tblGrid>
      <w:tr w:rsidR="00150D36" w:rsidRPr="00AC1EFB" w:rsidTr="00191860">
        <w:tc>
          <w:tcPr>
            <w:tcW w:w="7088" w:type="dxa"/>
            <w:shd w:val="clear" w:color="auto" w:fill="auto"/>
          </w:tcPr>
          <w:p w:rsidR="00150D36" w:rsidRPr="00AC1EFB" w:rsidRDefault="00610877" w:rsidP="00150D36">
            <w:pPr>
              <w:pStyle w:val="Heading1"/>
              <w:rPr>
                <w:rFonts w:ascii="Times New Roman" w:hAnsi="Times New Roman"/>
                <w:sz w:val="28"/>
                <w:szCs w:val="28"/>
              </w:rPr>
            </w:pPr>
            <w:r w:rsidRPr="00AC1EFB">
              <w:rPr>
                <w:rFonts w:ascii="Times New Roman" w:hAnsi="Times New Roman"/>
                <w:sz w:val="28"/>
                <w:szCs w:val="28"/>
              </w:rPr>
              <w:t>Council</w:t>
            </w:r>
            <w:r w:rsidR="000122CD" w:rsidRPr="00AC1EFB">
              <w:rPr>
                <w:rFonts w:ascii="Times New Roman" w:hAnsi="Times New Roman"/>
                <w:sz w:val="28"/>
                <w:szCs w:val="28"/>
              </w:rPr>
              <w:t xml:space="preserve"> </w:t>
            </w:r>
            <w:r w:rsidR="00150D36" w:rsidRPr="00AC1EFB">
              <w:rPr>
                <w:rFonts w:ascii="Times New Roman" w:hAnsi="Times New Roman"/>
                <w:sz w:val="28"/>
                <w:szCs w:val="28"/>
              </w:rPr>
              <w:t>Document</w:t>
            </w:r>
            <w:r w:rsidR="00BE72DB" w:rsidRPr="00AC1EFB">
              <w:rPr>
                <w:rFonts w:ascii="Times New Roman" w:hAnsi="Times New Roman"/>
                <w:sz w:val="28"/>
                <w:szCs w:val="28"/>
              </w:rPr>
              <w:t xml:space="preserve"> </w:t>
            </w:r>
          </w:p>
          <w:p w:rsidR="00AA3B79" w:rsidRPr="00AA3B79" w:rsidRDefault="00AA3B79" w:rsidP="00AA3B79"/>
          <w:p w:rsidR="00150D36" w:rsidRPr="00AC1EFB" w:rsidRDefault="00223F36" w:rsidP="00223F36">
            <w:pPr>
              <w:rPr>
                <w:b/>
                <w:sz w:val="28"/>
                <w:szCs w:val="28"/>
              </w:rPr>
            </w:pPr>
            <w:r w:rsidRPr="00223F36">
              <w:rPr>
                <w:rFonts w:ascii="Verdana" w:hAnsi="Verdana"/>
              </w:rPr>
              <w:t>To agree the budget for 202</w:t>
            </w:r>
            <w:r w:rsidR="00C17E6F">
              <w:rPr>
                <w:rFonts w:ascii="Verdana" w:hAnsi="Verdana"/>
              </w:rPr>
              <w:t>4</w:t>
            </w:r>
            <w:r w:rsidR="00641289">
              <w:rPr>
                <w:rFonts w:ascii="Verdana" w:hAnsi="Verdana"/>
              </w:rPr>
              <w:t>/25,</w:t>
            </w:r>
            <w:r w:rsidRPr="00223F36">
              <w:rPr>
                <w:rFonts w:ascii="Verdana" w:hAnsi="Verdana"/>
              </w:rPr>
              <w:t xml:space="preserve"> and set and inform Hertsmere Borough Council of the Council’s precept demand for 202</w:t>
            </w:r>
            <w:r w:rsidR="00C17E6F">
              <w:rPr>
                <w:rFonts w:ascii="Verdana" w:hAnsi="Verdana"/>
              </w:rPr>
              <w:t>4</w:t>
            </w:r>
            <w:r w:rsidR="00641289">
              <w:rPr>
                <w:rFonts w:ascii="Verdana" w:hAnsi="Verdana"/>
              </w:rPr>
              <w:t>/25</w:t>
            </w:r>
            <w:r w:rsidRPr="00223F36">
              <w:rPr>
                <w:rFonts w:ascii="Verdana" w:hAnsi="Verdana"/>
              </w:rPr>
              <w:t>.</w:t>
            </w:r>
            <w:r w:rsidRPr="00AC1EFB">
              <w:rPr>
                <w:b/>
                <w:sz w:val="28"/>
                <w:szCs w:val="28"/>
              </w:rPr>
              <w:t xml:space="preserve"> </w:t>
            </w:r>
          </w:p>
        </w:tc>
        <w:tc>
          <w:tcPr>
            <w:tcW w:w="6520" w:type="dxa"/>
            <w:shd w:val="clear" w:color="auto" w:fill="auto"/>
          </w:tcPr>
          <w:p w:rsidR="00150D36" w:rsidRPr="00AC1EFB" w:rsidRDefault="00150D36" w:rsidP="00AC1EFB">
            <w:pPr>
              <w:pStyle w:val="Heading1"/>
              <w:ind w:right="1066"/>
              <w:rPr>
                <w:rFonts w:ascii="Times New Roman" w:hAnsi="Times New Roman"/>
                <w:sz w:val="36"/>
                <w:szCs w:val="36"/>
              </w:rPr>
            </w:pPr>
            <w:r w:rsidRPr="00AC1EFB">
              <w:rPr>
                <w:rFonts w:ascii="Times New Roman" w:hAnsi="Times New Roman"/>
                <w:sz w:val="36"/>
                <w:szCs w:val="36"/>
              </w:rPr>
              <w:t xml:space="preserve">AGENDA item </w:t>
            </w:r>
            <w:r w:rsidR="001A3496">
              <w:rPr>
                <w:rFonts w:ascii="Times New Roman" w:hAnsi="Times New Roman"/>
                <w:sz w:val="36"/>
                <w:szCs w:val="36"/>
              </w:rPr>
              <w:t>8</w:t>
            </w:r>
          </w:p>
          <w:p w:rsidR="004D4DE4" w:rsidRPr="00AC1EFB" w:rsidRDefault="00150D36" w:rsidP="004D4DE4">
            <w:pPr>
              <w:rPr>
                <w:sz w:val="36"/>
                <w:szCs w:val="36"/>
              </w:rPr>
            </w:pPr>
            <w:r w:rsidRPr="00AC1EFB">
              <w:rPr>
                <w:sz w:val="36"/>
                <w:szCs w:val="36"/>
              </w:rPr>
              <w:t xml:space="preserve">  </w:t>
            </w:r>
          </w:p>
          <w:p w:rsidR="004D4DE4" w:rsidRPr="00AC1EFB" w:rsidRDefault="005B71DA" w:rsidP="004D4DE4">
            <w:pPr>
              <w:rPr>
                <w:b/>
                <w:sz w:val="28"/>
                <w:szCs w:val="28"/>
              </w:rPr>
            </w:pPr>
            <w:r>
              <w:rPr>
                <w:b/>
                <w:sz w:val="28"/>
                <w:szCs w:val="28"/>
              </w:rPr>
              <w:t>F</w:t>
            </w:r>
            <w:r w:rsidR="00223F36">
              <w:rPr>
                <w:b/>
                <w:sz w:val="28"/>
                <w:szCs w:val="28"/>
              </w:rPr>
              <w:t xml:space="preserve">ull Council </w:t>
            </w:r>
            <w:r w:rsidR="004D4DE4" w:rsidRPr="00AC1EFB">
              <w:rPr>
                <w:b/>
                <w:sz w:val="28"/>
                <w:szCs w:val="28"/>
              </w:rPr>
              <w:t xml:space="preserve">meeting </w:t>
            </w:r>
            <w:r w:rsidR="00223F36">
              <w:rPr>
                <w:b/>
                <w:sz w:val="28"/>
                <w:szCs w:val="28"/>
              </w:rPr>
              <w:t>3</w:t>
            </w:r>
            <w:r w:rsidR="00C17E6F">
              <w:rPr>
                <w:b/>
                <w:sz w:val="28"/>
                <w:szCs w:val="28"/>
              </w:rPr>
              <w:t xml:space="preserve">0 </w:t>
            </w:r>
            <w:r w:rsidR="00854970">
              <w:rPr>
                <w:b/>
                <w:sz w:val="28"/>
                <w:szCs w:val="28"/>
              </w:rPr>
              <w:t>January 20</w:t>
            </w:r>
            <w:r w:rsidR="00191860">
              <w:rPr>
                <w:b/>
                <w:sz w:val="28"/>
                <w:szCs w:val="28"/>
              </w:rPr>
              <w:t>2</w:t>
            </w:r>
            <w:r w:rsidR="004A5C9F">
              <w:rPr>
                <w:b/>
                <w:sz w:val="28"/>
                <w:szCs w:val="28"/>
              </w:rPr>
              <w:t>4</w:t>
            </w:r>
          </w:p>
          <w:p w:rsidR="00150D36" w:rsidRPr="00AC1EFB" w:rsidRDefault="00150D36" w:rsidP="00AC1EFB">
            <w:pPr>
              <w:pStyle w:val="Heading1"/>
              <w:ind w:right="1066"/>
              <w:rPr>
                <w:rFonts w:ascii="Times New Roman" w:hAnsi="Times New Roman"/>
                <w:sz w:val="36"/>
                <w:szCs w:val="36"/>
              </w:rPr>
            </w:pPr>
            <w:r w:rsidRPr="00AC1EFB">
              <w:rPr>
                <w:rFonts w:ascii="Times New Roman" w:hAnsi="Times New Roman"/>
                <w:sz w:val="36"/>
                <w:szCs w:val="36"/>
              </w:rPr>
              <w:t xml:space="preserve"> </w:t>
            </w:r>
          </w:p>
        </w:tc>
      </w:tr>
    </w:tbl>
    <w:p w:rsidR="00150D36" w:rsidRDefault="00150D36" w:rsidP="00150D36">
      <w:r>
        <w:t xml:space="preserve">           </w:t>
      </w:r>
      <w:r>
        <w:tab/>
      </w:r>
      <w:r>
        <w:tab/>
      </w:r>
      <w:r>
        <w:tab/>
      </w:r>
    </w:p>
    <w:p w:rsidR="004B09D6" w:rsidRDefault="004B09D6" w:rsidP="004B09D6">
      <w:pPr>
        <w:rPr>
          <w:rFonts w:ascii="Microsoft Sans Serif" w:hAnsi="Microsoft Sans Serif" w:cs="Microsoft Sans Serif"/>
          <w:b/>
          <w:u w:val="single"/>
        </w:rPr>
      </w:pPr>
      <w:r>
        <w:rPr>
          <w:rFonts w:ascii="Microsoft Sans Serif" w:hAnsi="Microsoft Sans Serif" w:cs="Microsoft Sans Serif"/>
          <w:b/>
          <w:u w:val="single"/>
        </w:rPr>
        <w:t>Budget for APC for 202</w:t>
      </w:r>
      <w:r w:rsidR="00DC3E92">
        <w:rPr>
          <w:rFonts w:ascii="Microsoft Sans Serif" w:hAnsi="Microsoft Sans Serif" w:cs="Microsoft Sans Serif"/>
          <w:b/>
          <w:u w:val="single"/>
        </w:rPr>
        <w:t>4/25</w:t>
      </w:r>
    </w:p>
    <w:p w:rsidR="001D673F" w:rsidRDefault="00093B85" w:rsidP="00681F7E">
      <w:pPr>
        <w:rPr>
          <w:rFonts w:ascii="Microsoft Sans Serif" w:hAnsi="Microsoft Sans Serif" w:cs="Microsoft Sans Serif"/>
        </w:rPr>
      </w:pPr>
      <w:r>
        <w:rPr>
          <w:rFonts w:ascii="Microsoft Sans Serif" w:hAnsi="Microsoft Sans Serif" w:cs="Microsoft Sans Serif"/>
        </w:rPr>
        <w:t xml:space="preserve">I attach the budget, </w:t>
      </w:r>
      <w:r w:rsidR="004B09D6">
        <w:rPr>
          <w:rFonts w:ascii="Microsoft Sans Serif" w:hAnsi="Microsoft Sans Serif" w:cs="Microsoft Sans Serif"/>
        </w:rPr>
        <w:t xml:space="preserve">which includes the adjustments suggested by the Finance &amp; General Purposes </w:t>
      </w:r>
      <w:r w:rsidR="00962DAB">
        <w:rPr>
          <w:rFonts w:ascii="Microsoft Sans Serif" w:hAnsi="Microsoft Sans Serif" w:cs="Microsoft Sans Serif"/>
        </w:rPr>
        <w:t xml:space="preserve">committee </w:t>
      </w:r>
      <w:r>
        <w:rPr>
          <w:rFonts w:ascii="Microsoft Sans Serif" w:hAnsi="Microsoft Sans Serif" w:cs="Microsoft Sans Serif"/>
        </w:rPr>
        <w:t xml:space="preserve">at </w:t>
      </w:r>
      <w:r w:rsidR="004B09D6">
        <w:rPr>
          <w:rFonts w:ascii="Microsoft Sans Serif" w:hAnsi="Microsoft Sans Serif" w:cs="Microsoft Sans Serif"/>
        </w:rPr>
        <w:t xml:space="preserve">its meeting </w:t>
      </w:r>
      <w:r w:rsidR="00962DAB">
        <w:rPr>
          <w:rFonts w:ascii="Microsoft Sans Serif" w:hAnsi="Microsoft Sans Serif" w:cs="Microsoft Sans Serif"/>
        </w:rPr>
        <w:t xml:space="preserve">on </w:t>
      </w:r>
      <w:r w:rsidR="004B09D6">
        <w:rPr>
          <w:rFonts w:ascii="Microsoft Sans Serif" w:hAnsi="Microsoft Sans Serif" w:cs="Microsoft Sans Serif"/>
        </w:rPr>
        <w:t>1</w:t>
      </w:r>
      <w:r w:rsidR="00DC3E92">
        <w:rPr>
          <w:rFonts w:ascii="Microsoft Sans Serif" w:hAnsi="Microsoft Sans Serif" w:cs="Microsoft Sans Serif"/>
        </w:rPr>
        <w:t>1 January 2024</w:t>
      </w:r>
      <w:r>
        <w:rPr>
          <w:rFonts w:ascii="Microsoft Sans Serif" w:hAnsi="Microsoft Sans Serif" w:cs="Microsoft Sans Serif"/>
        </w:rPr>
        <w:t xml:space="preserve">. </w:t>
      </w:r>
      <w:r w:rsidR="001D673F">
        <w:rPr>
          <w:rFonts w:ascii="Microsoft Sans Serif" w:hAnsi="Microsoft Sans Serif" w:cs="Microsoft Sans Serif"/>
        </w:rPr>
        <w:t>(appendix a).</w:t>
      </w:r>
      <w:r w:rsidR="00DC3E92">
        <w:rPr>
          <w:rFonts w:ascii="Microsoft Sans Serif" w:hAnsi="Microsoft Sans Serif" w:cs="Microsoft Sans Serif"/>
        </w:rPr>
        <w:t xml:space="preserve"> As highlighted on page </w:t>
      </w:r>
      <w:r w:rsidR="00350308">
        <w:rPr>
          <w:rFonts w:ascii="Microsoft Sans Serif" w:hAnsi="Microsoft Sans Serif" w:cs="Microsoft Sans Serif"/>
        </w:rPr>
        <w:t>6</w:t>
      </w:r>
      <w:r w:rsidR="00DC3E92">
        <w:rPr>
          <w:rFonts w:ascii="Microsoft Sans Serif" w:hAnsi="Microsoft Sans Serif" w:cs="Microsoft Sans Serif"/>
        </w:rPr>
        <w:t xml:space="preserve"> the budget required for </w:t>
      </w:r>
      <w:r w:rsidR="00A656AD">
        <w:rPr>
          <w:rFonts w:ascii="Microsoft Sans Serif" w:hAnsi="Microsoft Sans Serif" w:cs="Microsoft Sans Serif"/>
        </w:rPr>
        <w:t>A</w:t>
      </w:r>
      <w:r w:rsidR="00DC3E92">
        <w:rPr>
          <w:rFonts w:ascii="Microsoft Sans Serif" w:hAnsi="Microsoft Sans Serif" w:cs="Microsoft Sans Serif"/>
        </w:rPr>
        <w:t xml:space="preserve">ldenham Parish Council (APC) for 2024/25 in order to carry out its duties is </w:t>
      </w:r>
      <w:r w:rsidR="00A656AD">
        <w:rPr>
          <w:rFonts w:ascii="Microsoft Sans Serif" w:hAnsi="Microsoft Sans Serif" w:cs="Microsoft Sans Serif"/>
        </w:rPr>
        <w:t>£</w:t>
      </w:r>
      <w:r w:rsidR="00905761">
        <w:rPr>
          <w:rFonts w:ascii="Microsoft Sans Serif" w:hAnsi="Microsoft Sans Serif" w:cs="Microsoft Sans Serif"/>
        </w:rPr>
        <w:t>740,437</w:t>
      </w:r>
      <w:r w:rsidR="00A656AD">
        <w:rPr>
          <w:rFonts w:ascii="Microsoft Sans Serif" w:hAnsi="Microsoft Sans Serif" w:cs="Microsoft Sans Serif"/>
        </w:rPr>
        <w:t xml:space="preserve">, an increase of </w:t>
      </w:r>
      <w:r w:rsidR="00681F7E">
        <w:rPr>
          <w:rFonts w:ascii="Microsoft Sans Serif" w:hAnsi="Microsoft Sans Serif" w:cs="Microsoft Sans Serif"/>
        </w:rPr>
        <w:t>£</w:t>
      </w:r>
      <w:r w:rsidR="00EA2173">
        <w:rPr>
          <w:rFonts w:ascii="Microsoft Sans Serif" w:hAnsi="Microsoft Sans Serif" w:cs="Microsoft Sans Serif"/>
        </w:rPr>
        <w:t>4</w:t>
      </w:r>
      <w:r w:rsidR="00905761">
        <w:rPr>
          <w:rFonts w:ascii="Microsoft Sans Serif" w:hAnsi="Microsoft Sans Serif" w:cs="Microsoft Sans Serif"/>
        </w:rPr>
        <w:t>6</w:t>
      </w:r>
      <w:r w:rsidR="003D4852">
        <w:rPr>
          <w:rFonts w:ascii="Microsoft Sans Serif" w:hAnsi="Microsoft Sans Serif" w:cs="Microsoft Sans Serif"/>
        </w:rPr>
        <w:t>,</w:t>
      </w:r>
      <w:r w:rsidR="00905761">
        <w:rPr>
          <w:rFonts w:ascii="Microsoft Sans Serif" w:hAnsi="Microsoft Sans Serif" w:cs="Microsoft Sans Serif"/>
        </w:rPr>
        <w:t xml:space="preserve">386 on the </w:t>
      </w:r>
      <w:r w:rsidR="00681F7E">
        <w:rPr>
          <w:rFonts w:ascii="Microsoft Sans Serif" w:hAnsi="Microsoft Sans Serif" w:cs="Microsoft Sans Serif"/>
        </w:rPr>
        <w:t>20</w:t>
      </w:r>
      <w:r w:rsidR="00EA2173">
        <w:rPr>
          <w:rFonts w:ascii="Microsoft Sans Serif" w:hAnsi="Microsoft Sans Serif" w:cs="Microsoft Sans Serif"/>
        </w:rPr>
        <w:t>2</w:t>
      </w:r>
      <w:r w:rsidR="00905761">
        <w:rPr>
          <w:rFonts w:ascii="Microsoft Sans Serif" w:hAnsi="Microsoft Sans Serif" w:cs="Microsoft Sans Serif"/>
        </w:rPr>
        <w:t>3/24</w:t>
      </w:r>
      <w:r w:rsidR="00681F7E">
        <w:rPr>
          <w:rFonts w:ascii="Microsoft Sans Serif" w:hAnsi="Microsoft Sans Serif" w:cs="Microsoft Sans Serif"/>
        </w:rPr>
        <w:t xml:space="preserve"> budget of £6</w:t>
      </w:r>
      <w:r w:rsidR="00905761">
        <w:rPr>
          <w:rFonts w:ascii="Microsoft Sans Serif" w:hAnsi="Microsoft Sans Serif" w:cs="Microsoft Sans Serif"/>
        </w:rPr>
        <w:t>94,051</w:t>
      </w:r>
      <w:r w:rsidR="000F1E23">
        <w:rPr>
          <w:rFonts w:ascii="Microsoft Sans Serif" w:hAnsi="Microsoft Sans Serif" w:cs="Microsoft Sans Serif"/>
        </w:rPr>
        <w:t>.</w:t>
      </w:r>
    </w:p>
    <w:p w:rsidR="00905761" w:rsidRDefault="00905761" w:rsidP="00681F7E">
      <w:pPr>
        <w:rPr>
          <w:rFonts w:ascii="Microsoft Sans Serif" w:hAnsi="Microsoft Sans Serif" w:cs="Microsoft Sans Serif"/>
        </w:rPr>
      </w:pPr>
    </w:p>
    <w:p w:rsidR="00905761" w:rsidRDefault="00905761" w:rsidP="00681F7E">
      <w:pPr>
        <w:rPr>
          <w:rFonts w:ascii="Microsoft Sans Serif" w:hAnsi="Microsoft Sans Serif" w:cs="Microsoft Sans Serif"/>
        </w:rPr>
      </w:pPr>
      <w:r>
        <w:rPr>
          <w:rFonts w:ascii="Microsoft Sans Serif" w:hAnsi="Microsoft Sans Serif" w:cs="Microsoft Sans Serif"/>
        </w:rPr>
        <w:t>The general principles behind this increase is</w:t>
      </w:r>
    </w:p>
    <w:p w:rsidR="00905761" w:rsidRDefault="00905761" w:rsidP="00681F7E">
      <w:pPr>
        <w:rPr>
          <w:rFonts w:ascii="Microsoft Sans Serif" w:hAnsi="Microsoft Sans Serif" w:cs="Microsoft Sans Serif"/>
        </w:rPr>
      </w:pPr>
    </w:p>
    <w:p w:rsidR="00905761" w:rsidRDefault="00905761" w:rsidP="00905761">
      <w:pPr>
        <w:numPr>
          <w:ilvl w:val="0"/>
          <w:numId w:val="23"/>
        </w:numPr>
        <w:rPr>
          <w:rFonts w:ascii="Microsoft Sans Serif" w:hAnsi="Microsoft Sans Serif" w:cs="Microsoft Sans Serif"/>
        </w:rPr>
      </w:pPr>
      <w:r>
        <w:rPr>
          <w:rFonts w:ascii="Microsoft Sans Serif" w:hAnsi="Microsoft Sans Serif" w:cs="Microsoft Sans Serif"/>
        </w:rPr>
        <w:t>Allowance for inflationary pressures on goods purchased</w:t>
      </w:r>
    </w:p>
    <w:p w:rsidR="00905761" w:rsidRDefault="00905761" w:rsidP="00905761">
      <w:pPr>
        <w:numPr>
          <w:ilvl w:val="0"/>
          <w:numId w:val="23"/>
        </w:numPr>
        <w:rPr>
          <w:rFonts w:ascii="Microsoft Sans Serif" w:hAnsi="Microsoft Sans Serif" w:cs="Microsoft Sans Serif"/>
        </w:rPr>
      </w:pPr>
      <w:r>
        <w:rPr>
          <w:rFonts w:ascii="Microsoft Sans Serif" w:hAnsi="Microsoft Sans Serif" w:cs="Microsoft Sans Serif"/>
        </w:rPr>
        <w:t>Cost  of living rises for staff which are negotiated nationally over which APC has no control.</w:t>
      </w:r>
    </w:p>
    <w:p w:rsidR="00905761" w:rsidRDefault="00905761" w:rsidP="00905761">
      <w:pPr>
        <w:numPr>
          <w:ilvl w:val="0"/>
          <w:numId w:val="23"/>
        </w:numPr>
        <w:rPr>
          <w:rFonts w:ascii="Microsoft Sans Serif" w:hAnsi="Microsoft Sans Serif" w:cs="Microsoft Sans Serif"/>
        </w:rPr>
      </w:pPr>
      <w:r>
        <w:rPr>
          <w:rFonts w:ascii="Microsoft Sans Serif" w:hAnsi="Microsoft Sans Serif" w:cs="Microsoft Sans Serif"/>
        </w:rPr>
        <w:t xml:space="preserve">The decision not to renew the grant to Hertsmere Borough Council (HBC) in order to ensure that the first hour of parking in Newberries Car Park is free, due to the fact that HBC had indicated that this subsidy would need to increase to at least £60,000 from £12,500 in order to replace HBC’s lost revenue. </w:t>
      </w:r>
    </w:p>
    <w:p w:rsidR="00905761" w:rsidRDefault="00905761" w:rsidP="00905761">
      <w:pPr>
        <w:numPr>
          <w:ilvl w:val="0"/>
          <w:numId w:val="23"/>
        </w:numPr>
        <w:rPr>
          <w:rFonts w:ascii="Microsoft Sans Serif" w:hAnsi="Microsoft Sans Serif" w:cs="Microsoft Sans Serif"/>
        </w:rPr>
      </w:pPr>
      <w:r>
        <w:rPr>
          <w:rFonts w:ascii="Microsoft Sans Serif" w:hAnsi="Microsoft Sans Serif" w:cs="Microsoft Sans Serif"/>
        </w:rPr>
        <w:t xml:space="preserve">To ensure that APC replenished the General Reserves to an acceptable level following two years where these reserves had been used to fund </w:t>
      </w:r>
      <w:r w:rsidR="004877AC">
        <w:rPr>
          <w:rFonts w:ascii="Microsoft Sans Serif" w:hAnsi="Microsoft Sans Serif" w:cs="Microsoft Sans Serif"/>
        </w:rPr>
        <w:t>planning appeals, as a Rule 6 party on the ‘Solar Energy’ proposals and ‘Land to the South of Shenley Hill’ development for housing etc. (approximately £160,000).</w:t>
      </w:r>
    </w:p>
    <w:p w:rsidR="004B09D6" w:rsidRDefault="004B09D6" w:rsidP="00681F7E">
      <w:pPr>
        <w:rPr>
          <w:rFonts w:ascii="Microsoft Sans Serif" w:hAnsi="Microsoft Sans Serif" w:cs="Microsoft Sans Serif"/>
        </w:rPr>
      </w:pPr>
    </w:p>
    <w:p w:rsidR="004B09D6" w:rsidRDefault="004B09D6" w:rsidP="00681F7E">
      <w:pPr>
        <w:rPr>
          <w:rFonts w:ascii="Microsoft Sans Serif" w:hAnsi="Microsoft Sans Serif" w:cs="Microsoft Sans Serif"/>
        </w:rPr>
      </w:pPr>
      <w:r>
        <w:rPr>
          <w:rFonts w:ascii="Microsoft Sans Serif" w:hAnsi="Microsoft Sans Serif" w:cs="Microsoft Sans Serif"/>
        </w:rPr>
        <w:t>The recommendation from the Finance &amp; General Purposes committee is as follows</w:t>
      </w:r>
      <w:r w:rsidR="00350308">
        <w:rPr>
          <w:rFonts w:ascii="Microsoft Sans Serif" w:hAnsi="Microsoft Sans Serif" w:cs="Microsoft Sans Serif"/>
        </w:rPr>
        <w:t>;</w:t>
      </w:r>
    </w:p>
    <w:p w:rsidR="004B09D6" w:rsidRDefault="004B09D6" w:rsidP="00681F7E">
      <w:pPr>
        <w:rPr>
          <w:rFonts w:ascii="Microsoft Sans Serif" w:hAnsi="Microsoft Sans Serif" w:cs="Microsoft Sans Serif"/>
        </w:rPr>
      </w:pPr>
    </w:p>
    <w:p w:rsidR="004B09D6" w:rsidRPr="004B09D6" w:rsidRDefault="004877AC" w:rsidP="004B09D6">
      <w:pPr>
        <w:pStyle w:val="ListParagraph"/>
        <w:numPr>
          <w:ilvl w:val="0"/>
          <w:numId w:val="22"/>
        </w:numPr>
        <w:rPr>
          <w:rFonts w:ascii="Microsoft Sans Serif" w:hAnsi="Microsoft Sans Serif" w:cs="Microsoft Sans Serif"/>
          <w:b/>
        </w:rPr>
      </w:pPr>
      <w:r w:rsidRPr="004877AC">
        <w:rPr>
          <w:rStyle w:val="Emphasis"/>
          <w:rFonts w:ascii="Verdana" w:hAnsi="Verdana"/>
          <w:b/>
          <w:bCs/>
          <w:i w:val="0"/>
        </w:rPr>
        <w:t>That the committee ask</w:t>
      </w:r>
      <w:r>
        <w:rPr>
          <w:rStyle w:val="Emphasis"/>
          <w:rFonts w:ascii="Verdana" w:hAnsi="Verdana"/>
          <w:b/>
          <w:bCs/>
          <w:i w:val="0"/>
        </w:rPr>
        <w:t>s</w:t>
      </w:r>
      <w:r w:rsidRPr="004877AC">
        <w:rPr>
          <w:rStyle w:val="Emphasis"/>
          <w:rFonts w:ascii="Verdana" w:hAnsi="Verdana"/>
          <w:b/>
          <w:bCs/>
          <w:i w:val="0"/>
        </w:rPr>
        <w:t xml:space="preserve"> the </w:t>
      </w:r>
      <w:r>
        <w:rPr>
          <w:rStyle w:val="Emphasis"/>
          <w:rFonts w:ascii="Verdana" w:hAnsi="Verdana"/>
          <w:b/>
          <w:bCs/>
          <w:i w:val="0"/>
        </w:rPr>
        <w:t>C</w:t>
      </w:r>
      <w:r w:rsidRPr="004877AC">
        <w:rPr>
          <w:rStyle w:val="Emphasis"/>
          <w:rFonts w:ascii="Verdana" w:hAnsi="Verdana"/>
          <w:b/>
          <w:bCs/>
          <w:i w:val="0"/>
        </w:rPr>
        <w:t xml:space="preserve">ouncil to confirm a budget requirement </w:t>
      </w:r>
      <w:r>
        <w:rPr>
          <w:rStyle w:val="Emphasis"/>
          <w:rFonts w:ascii="Verdana" w:hAnsi="Verdana"/>
          <w:b/>
          <w:bCs/>
          <w:i w:val="0"/>
        </w:rPr>
        <w:t xml:space="preserve">for </w:t>
      </w:r>
      <w:r w:rsidRPr="004877AC">
        <w:rPr>
          <w:rStyle w:val="Emphasis"/>
          <w:rFonts w:ascii="Verdana" w:hAnsi="Verdana"/>
          <w:b/>
          <w:bCs/>
          <w:i w:val="0"/>
        </w:rPr>
        <w:t xml:space="preserve">APC </w:t>
      </w:r>
      <w:r>
        <w:rPr>
          <w:rStyle w:val="Emphasis"/>
          <w:rFonts w:ascii="Verdana" w:hAnsi="Verdana"/>
          <w:b/>
          <w:bCs/>
          <w:i w:val="0"/>
        </w:rPr>
        <w:t>o</w:t>
      </w:r>
      <w:r w:rsidRPr="004877AC">
        <w:rPr>
          <w:rStyle w:val="Emphasis"/>
          <w:rFonts w:ascii="Verdana" w:hAnsi="Verdana"/>
          <w:b/>
          <w:bCs/>
          <w:i w:val="0"/>
        </w:rPr>
        <w:t>f</w:t>
      </w:r>
      <w:r>
        <w:rPr>
          <w:rStyle w:val="Emphasis"/>
          <w:rFonts w:ascii="Verdana" w:hAnsi="Verdana"/>
          <w:b/>
          <w:bCs/>
          <w:i w:val="0"/>
        </w:rPr>
        <w:t xml:space="preserve"> £740,437 net for the financial year</w:t>
      </w:r>
      <w:r w:rsidRPr="004877AC">
        <w:rPr>
          <w:rStyle w:val="Emphasis"/>
          <w:rFonts w:ascii="Verdana" w:hAnsi="Verdana"/>
          <w:b/>
          <w:bCs/>
          <w:i w:val="0"/>
        </w:rPr>
        <w:t xml:space="preserve"> 2024/25.</w:t>
      </w:r>
      <w:r w:rsidRPr="004877AC">
        <w:rPr>
          <w:rStyle w:val="Emphasis"/>
          <w:rFonts w:ascii="Verdana" w:hAnsi="Verdana"/>
          <w:b/>
          <w:bCs/>
          <w:i w:val="0"/>
        </w:rPr>
        <w:br/>
      </w:r>
    </w:p>
    <w:p w:rsidR="000F1E23" w:rsidRPr="004B09D6" w:rsidRDefault="004B09D6" w:rsidP="00681F7E">
      <w:pPr>
        <w:rPr>
          <w:rFonts w:ascii="Microsoft Sans Serif" w:hAnsi="Microsoft Sans Serif" w:cs="Microsoft Sans Serif"/>
          <w:b/>
          <w:u w:val="single"/>
        </w:rPr>
      </w:pPr>
      <w:r>
        <w:rPr>
          <w:rFonts w:ascii="Microsoft Sans Serif" w:hAnsi="Microsoft Sans Serif" w:cs="Microsoft Sans Serif"/>
          <w:b/>
          <w:u w:val="single"/>
        </w:rPr>
        <w:t>Precept requirement for 202</w:t>
      </w:r>
      <w:r w:rsidR="004877AC">
        <w:rPr>
          <w:rFonts w:ascii="Microsoft Sans Serif" w:hAnsi="Microsoft Sans Serif" w:cs="Microsoft Sans Serif"/>
          <w:b/>
          <w:u w:val="single"/>
        </w:rPr>
        <w:t>4/25</w:t>
      </w:r>
    </w:p>
    <w:p w:rsidR="00F00162" w:rsidRDefault="004877AC" w:rsidP="000F1E23">
      <w:pPr>
        <w:rPr>
          <w:rFonts w:ascii="Microsoft Sans Serif" w:hAnsi="Microsoft Sans Serif" w:cs="Microsoft Sans Serif"/>
        </w:rPr>
      </w:pPr>
      <w:r>
        <w:rPr>
          <w:rFonts w:ascii="Microsoft Sans Serif" w:hAnsi="Microsoft Sans Serif" w:cs="Microsoft Sans Serif"/>
        </w:rPr>
        <w:t xml:space="preserve">Once the budget has been agreed, APC needs to consider how this will be funded. This can be from council tax collected by </w:t>
      </w:r>
      <w:r w:rsidR="000F1E23">
        <w:rPr>
          <w:rFonts w:ascii="Microsoft Sans Serif" w:hAnsi="Microsoft Sans Serif" w:cs="Microsoft Sans Serif"/>
        </w:rPr>
        <w:t>Hertsmere</w:t>
      </w:r>
      <w:r w:rsidR="00010018">
        <w:rPr>
          <w:rFonts w:ascii="Microsoft Sans Serif" w:hAnsi="Microsoft Sans Serif" w:cs="Microsoft Sans Serif"/>
        </w:rPr>
        <w:t xml:space="preserve"> </w:t>
      </w:r>
      <w:r w:rsidR="000F1E23">
        <w:rPr>
          <w:rFonts w:ascii="Microsoft Sans Serif" w:hAnsi="Microsoft Sans Serif" w:cs="Microsoft Sans Serif"/>
        </w:rPr>
        <w:t>B</w:t>
      </w:r>
      <w:r w:rsidR="00010018">
        <w:rPr>
          <w:rFonts w:ascii="Microsoft Sans Serif" w:hAnsi="Microsoft Sans Serif" w:cs="Microsoft Sans Serif"/>
        </w:rPr>
        <w:t>orough Counci</w:t>
      </w:r>
      <w:r w:rsidR="004B09D6">
        <w:rPr>
          <w:rFonts w:ascii="Microsoft Sans Serif" w:hAnsi="Microsoft Sans Serif" w:cs="Microsoft Sans Serif"/>
        </w:rPr>
        <w:t>l (HBC)</w:t>
      </w:r>
      <w:r>
        <w:rPr>
          <w:rFonts w:ascii="Microsoft Sans Serif" w:hAnsi="Microsoft Sans Serif" w:cs="Microsoft Sans Serif"/>
        </w:rPr>
        <w:t xml:space="preserve"> or partly/fully from reserves (not capital reserves as they have to be spent on capital items). As reported in </w:t>
      </w:r>
      <w:r w:rsidR="002D6DB5">
        <w:rPr>
          <w:rFonts w:ascii="Microsoft Sans Serif" w:hAnsi="Microsoft Sans Serif" w:cs="Microsoft Sans Serif"/>
        </w:rPr>
        <w:t xml:space="preserve">December the balance of monies held by APC was £1.9m of which £1.3m is either capital reserves or Community Infrastructure Levy which cannot be used to fund the revenue budget. </w:t>
      </w:r>
    </w:p>
    <w:p w:rsidR="000F1E23" w:rsidRDefault="00F00162" w:rsidP="000F1E23">
      <w:pPr>
        <w:rPr>
          <w:rFonts w:ascii="Microsoft Sans Serif" w:hAnsi="Microsoft Sans Serif" w:cs="Microsoft Sans Serif"/>
        </w:rPr>
      </w:pPr>
      <w:r>
        <w:rPr>
          <w:rFonts w:ascii="Microsoft Sans Serif" w:hAnsi="Microsoft Sans Serif" w:cs="Microsoft Sans Serif"/>
        </w:rPr>
        <w:lastRenderedPageBreak/>
        <w:t>HBC</w:t>
      </w:r>
      <w:r w:rsidR="00010018">
        <w:rPr>
          <w:rFonts w:ascii="Microsoft Sans Serif" w:hAnsi="Microsoft Sans Serif" w:cs="Microsoft Sans Serif"/>
        </w:rPr>
        <w:t xml:space="preserve"> has</w:t>
      </w:r>
      <w:r w:rsidR="000F1E23">
        <w:rPr>
          <w:rFonts w:ascii="Microsoft Sans Serif" w:hAnsi="Microsoft Sans Serif" w:cs="Microsoft Sans Serif"/>
        </w:rPr>
        <w:t xml:space="preserve"> informed APC that the tax base figure</w:t>
      </w:r>
      <w:r>
        <w:rPr>
          <w:rFonts w:ascii="Microsoft Sans Serif" w:hAnsi="Microsoft Sans Serif" w:cs="Microsoft Sans Serif"/>
        </w:rPr>
        <w:t xml:space="preserve">, which is the number of </w:t>
      </w:r>
      <w:r w:rsidR="00956A9F">
        <w:rPr>
          <w:rFonts w:ascii="Microsoft Sans Serif" w:hAnsi="Microsoft Sans Serif" w:cs="Microsoft Sans Serif"/>
        </w:rPr>
        <w:t>households</w:t>
      </w:r>
      <w:r>
        <w:rPr>
          <w:rFonts w:ascii="Microsoft Sans Serif" w:hAnsi="Microsoft Sans Serif" w:cs="Microsoft Sans Serif"/>
        </w:rPr>
        <w:t xml:space="preserve"> it predicts will be charged with a percentage of the precept demand requested by APC is this will be 5415 which, unusually</w:t>
      </w:r>
      <w:r w:rsidR="00140E62">
        <w:rPr>
          <w:rFonts w:ascii="Microsoft Sans Serif" w:hAnsi="Microsoft Sans Serif" w:cs="Microsoft Sans Serif"/>
        </w:rPr>
        <w:t>,</w:t>
      </w:r>
      <w:r>
        <w:rPr>
          <w:rFonts w:ascii="Microsoft Sans Serif" w:hAnsi="Microsoft Sans Serif" w:cs="Microsoft Sans Serif"/>
        </w:rPr>
        <w:t xml:space="preserve"> is a reduction from 5481 </w:t>
      </w:r>
      <w:r w:rsidR="009027BD">
        <w:rPr>
          <w:rFonts w:ascii="Microsoft Sans Serif" w:hAnsi="Microsoft Sans Serif" w:cs="Microsoft Sans Serif"/>
        </w:rPr>
        <w:t xml:space="preserve">due to an administration error at HBC where they included properties within the APC calculation whereas they were actually in Bushey ward. </w:t>
      </w:r>
      <w:r w:rsidR="00140E62">
        <w:rPr>
          <w:rFonts w:ascii="Microsoft Sans Serif" w:hAnsi="Microsoft Sans Serif" w:cs="Microsoft Sans Serif"/>
        </w:rPr>
        <w:t>Unfortunately, this means number of</w:t>
      </w:r>
      <w:r w:rsidR="000F1E23">
        <w:rPr>
          <w:rFonts w:ascii="Microsoft Sans Serif" w:hAnsi="Microsoft Sans Serif" w:cs="Microsoft Sans Serif"/>
        </w:rPr>
        <w:t xml:space="preserve"> council tax properties in the parish</w:t>
      </w:r>
      <w:r w:rsidR="00140E62">
        <w:rPr>
          <w:rFonts w:ascii="Microsoft Sans Serif" w:hAnsi="Microsoft Sans Serif" w:cs="Microsoft Sans Serif"/>
        </w:rPr>
        <w:t xml:space="preserve">, </w:t>
      </w:r>
      <w:r w:rsidR="00350308">
        <w:rPr>
          <w:rFonts w:ascii="Microsoft Sans Serif" w:hAnsi="Microsoft Sans Serif" w:cs="Microsoft Sans Serif"/>
        </w:rPr>
        <w:t xml:space="preserve">from </w:t>
      </w:r>
      <w:r w:rsidR="00140E62">
        <w:rPr>
          <w:rFonts w:ascii="Microsoft Sans Serif" w:hAnsi="Microsoft Sans Serif" w:cs="Microsoft Sans Serif"/>
        </w:rPr>
        <w:t>which the precept required by APC is</w:t>
      </w:r>
      <w:r w:rsidR="00350308">
        <w:rPr>
          <w:rFonts w:ascii="Microsoft Sans Serif" w:hAnsi="Microsoft Sans Serif" w:cs="Microsoft Sans Serif"/>
        </w:rPr>
        <w:t xml:space="preserve"> collected, is</w:t>
      </w:r>
      <w:r w:rsidR="00140E62">
        <w:rPr>
          <w:rFonts w:ascii="Microsoft Sans Serif" w:hAnsi="Microsoft Sans Serif" w:cs="Microsoft Sans Serif"/>
        </w:rPr>
        <w:t xml:space="preserve"> less.</w:t>
      </w:r>
      <w:r w:rsidR="003D4852" w:rsidRPr="003D4852">
        <w:rPr>
          <w:rFonts w:ascii="Microsoft Sans Serif" w:hAnsi="Microsoft Sans Serif" w:cs="Microsoft Sans Serif"/>
        </w:rPr>
        <w:t xml:space="preserve"> </w:t>
      </w:r>
      <w:r w:rsidR="003D4852">
        <w:rPr>
          <w:rFonts w:ascii="Microsoft Sans Serif" w:hAnsi="Microsoft Sans Serif" w:cs="Microsoft Sans Serif"/>
        </w:rPr>
        <w:t>Please note the final tax base figure</w:t>
      </w:r>
      <w:r w:rsidR="00140E62">
        <w:rPr>
          <w:rFonts w:ascii="Microsoft Sans Serif" w:hAnsi="Microsoft Sans Serif" w:cs="Microsoft Sans Serif"/>
        </w:rPr>
        <w:t xml:space="preserve"> will be finalised at the next meeting of </w:t>
      </w:r>
      <w:r w:rsidR="003D4852">
        <w:rPr>
          <w:rFonts w:ascii="Microsoft Sans Serif" w:hAnsi="Microsoft Sans Serif" w:cs="Microsoft Sans Serif"/>
        </w:rPr>
        <w:t>HBC</w:t>
      </w:r>
      <w:r w:rsidR="00140E62">
        <w:rPr>
          <w:rFonts w:ascii="Microsoft Sans Serif" w:hAnsi="Microsoft Sans Serif" w:cs="Microsoft Sans Serif"/>
        </w:rPr>
        <w:t xml:space="preserve"> which is set for 24 </w:t>
      </w:r>
      <w:r w:rsidR="003D4852">
        <w:rPr>
          <w:rFonts w:ascii="Microsoft Sans Serif" w:hAnsi="Microsoft Sans Serif" w:cs="Microsoft Sans Serif"/>
        </w:rPr>
        <w:t>January 202</w:t>
      </w:r>
      <w:r w:rsidR="00140E62">
        <w:rPr>
          <w:rFonts w:ascii="Microsoft Sans Serif" w:hAnsi="Microsoft Sans Serif" w:cs="Microsoft Sans Serif"/>
        </w:rPr>
        <w:t>4</w:t>
      </w:r>
      <w:r w:rsidR="003D4852">
        <w:rPr>
          <w:rFonts w:ascii="Microsoft Sans Serif" w:hAnsi="Microsoft Sans Serif" w:cs="Microsoft Sans Serif"/>
        </w:rPr>
        <w:t xml:space="preserve">. </w:t>
      </w:r>
    </w:p>
    <w:p w:rsidR="00140E62" w:rsidRDefault="00140E62" w:rsidP="000F1E23">
      <w:pPr>
        <w:rPr>
          <w:rFonts w:ascii="Microsoft Sans Serif" w:hAnsi="Microsoft Sans Serif" w:cs="Microsoft Sans Serif"/>
        </w:rPr>
      </w:pPr>
    </w:p>
    <w:p w:rsidR="00140E62" w:rsidRPr="00140E62" w:rsidRDefault="00140E62" w:rsidP="000F1E23">
      <w:pPr>
        <w:rPr>
          <w:rFonts w:ascii="Microsoft Sans Serif" w:hAnsi="Microsoft Sans Serif" w:cs="Microsoft Sans Serif"/>
          <w:b/>
          <w:u w:val="single"/>
        </w:rPr>
      </w:pPr>
      <w:r>
        <w:rPr>
          <w:rFonts w:ascii="Microsoft Sans Serif" w:hAnsi="Microsoft Sans Serif" w:cs="Microsoft Sans Serif"/>
          <w:b/>
          <w:u w:val="single"/>
        </w:rPr>
        <w:t>Use of reserves to offset the precept requirements of APC</w:t>
      </w:r>
    </w:p>
    <w:p w:rsidR="000F1E23" w:rsidRDefault="00140E62" w:rsidP="000F1E23">
      <w:pPr>
        <w:rPr>
          <w:rFonts w:ascii="Microsoft Sans Serif" w:hAnsi="Microsoft Sans Serif" w:cs="Microsoft Sans Serif"/>
        </w:rPr>
      </w:pPr>
      <w:r>
        <w:rPr>
          <w:rFonts w:ascii="Microsoft Sans Serif" w:hAnsi="Microsoft Sans Serif" w:cs="Microsoft Sans Serif"/>
        </w:rPr>
        <w:t>In 2023, APC made a provision that any asset purchases required would be funded from the reserves. APC could consider this again, but as discussed at the F&amp;GP Committee meeting, the general reserves have been reduced significantly over the last two years, mainly due to the fact that APC have been involved as a ’Rule 6’ party in two planning appeals, costing approximately £160,000. It is therefore</w:t>
      </w:r>
    </w:p>
    <w:p w:rsidR="00140E62" w:rsidRDefault="00140E62" w:rsidP="000F1E23">
      <w:pPr>
        <w:rPr>
          <w:rFonts w:ascii="Microsoft Sans Serif" w:hAnsi="Microsoft Sans Serif" w:cs="Microsoft Sans Serif"/>
        </w:rPr>
      </w:pPr>
    </w:p>
    <w:p w:rsidR="00140E62" w:rsidRDefault="00140E62" w:rsidP="00140E62">
      <w:pPr>
        <w:numPr>
          <w:ilvl w:val="0"/>
          <w:numId w:val="22"/>
        </w:numPr>
        <w:rPr>
          <w:rFonts w:ascii="Microsoft Sans Serif" w:hAnsi="Microsoft Sans Serif" w:cs="Microsoft Sans Serif"/>
          <w:b/>
        </w:rPr>
      </w:pPr>
      <w:r>
        <w:rPr>
          <w:rFonts w:ascii="Microsoft Sans Serif" w:hAnsi="Microsoft Sans Serif" w:cs="Microsoft Sans Serif"/>
          <w:b/>
        </w:rPr>
        <w:t>Recommended that the Council do not use any reserves to off-set the budget requirements for APC for 2024/25.</w:t>
      </w:r>
    </w:p>
    <w:p w:rsidR="00140E62" w:rsidRPr="00140E62" w:rsidRDefault="00140E62" w:rsidP="00140E62">
      <w:pPr>
        <w:ind w:left="720"/>
        <w:rPr>
          <w:rFonts w:ascii="Microsoft Sans Serif" w:hAnsi="Microsoft Sans Serif" w:cs="Microsoft Sans Serif"/>
          <w:b/>
        </w:rPr>
      </w:pPr>
    </w:p>
    <w:p w:rsidR="00893DB3" w:rsidRDefault="00893DB3" w:rsidP="000F1E23">
      <w:pPr>
        <w:rPr>
          <w:rFonts w:ascii="Microsoft Sans Serif" w:hAnsi="Microsoft Sans Serif" w:cs="Microsoft Sans Serif"/>
          <w:b/>
          <w:u w:val="single"/>
        </w:rPr>
      </w:pPr>
      <w:r>
        <w:rPr>
          <w:rFonts w:ascii="Microsoft Sans Serif" w:hAnsi="Microsoft Sans Serif" w:cs="Microsoft Sans Serif"/>
          <w:b/>
          <w:u w:val="single"/>
        </w:rPr>
        <w:t>Precept demand</w:t>
      </w:r>
    </w:p>
    <w:p w:rsidR="000F1E23" w:rsidRDefault="00962DAB" w:rsidP="000F1E23">
      <w:pPr>
        <w:rPr>
          <w:rFonts w:ascii="Microsoft Sans Serif" w:hAnsi="Microsoft Sans Serif" w:cs="Microsoft Sans Serif"/>
        </w:rPr>
      </w:pPr>
      <w:r>
        <w:rPr>
          <w:rFonts w:ascii="Microsoft Sans Serif" w:hAnsi="Microsoft Sans Serif" w:cs="Microsoft Sans Serif"/>
        </w:rPr>
        <w:t>So,</w:t>
      </w:r>
      <w:r w:rsidR="000F1E23">
        <w:rPr>
          <w:rFonts w:ascii="Microsoft Sans Serif" w:hAnsi="Microsoft Sans Serif" w:cs="Microsoft Sans Serif"/>
        </w:rPr>
        <w:t xml:space="preserve"> if you divide the budget required figure of £</w:t>
      </w:r>
      <w:r w:rsidR="00893DB3" w:rsidRPr="00893DB3">
        <w:rPr>
          <w:rStyle w:val="Emphasis"/>
          <w:rFonts w:ascii="Verdana" w:hAnsi="Verdana"/>
          <w:bCs/>
          <w:i w:val="0"/>
        </w:rPr>
        <w:t>740,437</w:t>
      </w:r>
      <w:r w:rsidR="00893DB3">
        <w:rPr>
          <w:rStyle w:val="Emphasis"/>
          <w:rFonts w:ascii="Verdana" w:hAnsi="Verdana"/>
          <w:b/>
          <w:bCs/>
          <w:i w:val="0"/>
        </w:rPr>
        <w:t xml:space="preserve"> </w:t>
      </w:r>
      <w:r w:rsidR="00907F51" w:rsidRPr="00907F51">
        <w:rPr>
          <w:rStyle w:val="Emphasis"/>
          <w:rFonts w:ascii="Verdana" w:hAnsi="Verdana"/>
          <w:bCs/>
          <w:i w:val="0"/>
        </w:rPr>
        <w:t>(shown as A</w:t>
      </w:r>
      <w:r w:rsidR="00907F51">
        <w:rPr>
          <w:rStyle w:val="Emphasis"/>
          <w:rFonts w:ascii="Verdana" w:hAnsi="Verdana"/>
          <w:bCs/>
          <w:i w:val="0"/>
        </w:rPr>
        <w:t>)</w:t>
      </w:r>
      <w:r w:rsidR="00907F51" w:rsidRPr="00907F51">
        <w:rPr>
          <w:rStyle w:val="Emphasis"/>
          <w:rFonts w:ascii="Verdana" w:hAnsi="Verdana"/>
          <w:bCs/>
          <w:i w:val="0"/>
        </w:rPr>
        <w:t xml:space="preserve"> below)</w:t>
      </w:r>
      <w:r w:rsidR="00907F51">
        <w:rPr>
          <w:rStyle w:val="Emphasis"/>
          <w:rFonts w:ascii="Verdana" w:hAnsi="Verdana"/>
          <w:b/>
          <w:bCs/>
          <w:i w:val="0"/>
        </w:rPr>
        <w:t xml:space="preserve"> </w:t>
      </w:r>
      <w:r w:rsidR="00893DB3">
        <w:rPr>
          <w:rStyle w:val="Emphasis"/>
          <w:rFonts w:ascii="Verdana" w:hAnsi="Verdana"/>
          <w:bCs/>
          <w:i w:val="0"/>
        </w:rPr>
        <w:t xml:space="preserve">and divide this by the </w:t>
      </w:r>
      <w:r w:rsidR="000F1E23">
        <w:rPr>
          <w:rFonts w:ascii="Microsoft Sans Serif" w:hAnsi="Microsoft Sans Serif" w:cs="Microsoft Sans Serif"/>
        </w:rPr>
        <w:t xml:space="preserve">new tax base of </w:t>
      </w:r>
      <w:r>
        <w:rPr>
          <w:rFonts w:ascii="Microsoft Sans Serif" w:hAnsi="Microsoft Sans Serif" w:cs="Microsoft Sans Serif"/>
        </w:rPr>
        <w:t>5</w:t>
      </w:r>
      <w:r w:rsidR="00893DB3">
        <w:rPr>
          <w:rFonts w:ascii="Microsoft Sans Serif" w:hAnsi="Microsoft Sans Serif" w:cs="Microsoft Sans Serif"/>
        </w:rPr>
        <w:t>415</w:t>
      </w:r>
      <w:r w:rsidR="000F1E23">
        <w:rPr>
          <w:rFonts w:ascii="Microsoft Sans Serif" w:hAnsi="Microsoft Sans Serif" w:cs="Microsoft Sans Serif"/>
        </w:rPr>
        <w:t xml:space="preserve">, the </w:t>
      </w:r>
      <w:r w:rsidR="00093B85">
        <w:rPr>
          <w:rFonts w:ascii="Microsoft Sans Serif" w:hAnsi="Microsoft Sans Serif" w:cs="Microsoft Sans Serif"/>
        </w:rPr>
        <w:t>a</w:t>
      </w:r>
      <w:r w:rsidR="000F1E23">
        <w:rPr>
          <w:rFonts w:ascii="Microsoft Sans Serif" w:hAnsi="Microsoft Sans Serif" w:cs="Microsoft Sans Serif"/>
        </w:rPr>
        <w:t xml:space="preserve">mount </w:t>
      </w:r>
      <w:r w:rsidR="00F814EB">
        <w:rPr>
          <w:rFonts w:ascii="Microsoft Sans Serif" w:hAnsi="Microsoft Sans Serif" w:cs="Microsoft Sans Serif"/>
        </w:rPr>
        <w:t xml:space="preserve">charged to </w:t>
      </w:r>
      <w:r w:rsidR="000F1E23">
        <w:rPr>
          <w:rFonts w:ascii="Microsoft Sans Serif" w:hAnsi="Microsoft Sans Serif" w:cs="Microsoft Sans Serif"/>
        </w:rPr>
        <w:t xml:space="preserve">Band ‘D’ level </w:t>
      </w:r>
      <w:r w:rsidR="00F814EB">
        <w:rPr>
          <w:rFonts w:ascii="Microsoft Sans Serif" w:hAnsi="Microsoft Sans Serif" w:cs="Microsoft Sans Serif"/>
        </w:rPr>
        <w:t xml:space="preserve">council tax payers in </w:t>
      </w:r>
      <w:r w:rsidR="000F1E23">
        <w:rPr>
          <w:rFonts w:ascii="Microsoft Sans Serif" w:hAnsi="Microsoft Sans Serif" w:cs="Microsoft Sans Serif"/>
        </w:rPr>
        <w:t xml:space="preserve">Aldenham Parish </w:t>
      </w:r>
      <w:r w:rsidR="00F814EB">
        <w:rPr>
          <w:rFonts w:ascii="Microsoft Sans Serif" w:hAnsi="Microsoft Sans Serif" w:cs="Microsoft Sans Serif"/>
        </w:rPr>
        <w:t>in 202</w:t>
      </w:r>
      <w:r w:rsidR="00893DB3">
        <w:rPr>
          <w:rFonts w:ascii="Microsoft Sans Serif" w:hAnsi="Microsoft Sans Serif" w:cs="Microsoft Sans Serif"/>
        </w:rPr>
        <w:t>4/25</w:t>
      </w:r>
      <w:r w:rsidR="00F814EB">
        <w:rPr>
          <w:rFonts w:ascii="Microsoft Sans Serif" w:hAnsi="Microsoft Sans Serif" w:cs="Microsoft Sans Serif"/>
        </w:rPr>
        <w:t xml:space="preserve"> will be</w:t>
      </w:r>
      <w:r w:rsidR="000F1E23">
        <w:rPr>
          <w:rFonts w:ascii="Microsoft Sans Serif" w:hAnsi="Microsoft Sans Serif" w:cs="Microsoft Sans Serif"/>
        </w:rPr>
        <w:t xml:space="preserve"> £1</w:t>
      </w:r>
      <w:r w:rsidR="00907F51">
        <w:rPr>
          <w:rFonts w:ascii="Microsoft Sans Serif" w:hAnsi="Microsoft Sans Serif" w:cs="Microsoft Sans Serif"/>
        </w:rPr>
        <w:t>36.74</w:t>
      </w:r>
      <w:r w:rsidR="000F1E23">
        <w:rPr>
          <w:rFonts w:ascii="Microsoft Sans Serif" w:hAnsi="Microsoft Sans Serif" w:cs="Microsoft Sans Serif"/>
        </w:rPr>
        <w:t xml:space="preserve"> (shown as </w:t>
      </w:r>
      <w:r w:rsidR="00093B85">
        <w:rPr>
          <w:rFonts w:ascii="Microsoft Sans Serif" w:hAnsi="Microsoft Sans Serif" w:cs="Microsoft Sans Serif"/>
        </w:rPr>
        <w:t>D</w:t>
      </w:r>
      <w:r w:rsidR="000F1E23">
        <w:rPr>
          <w:rFonts w:ascii="Microsoft Sans Serif" w:hAnsi="Microsoft Sans Serif" w:cs="Microsoft Sans Serif"/>
        </w:rPr>
        <w:t xml:space="preserve">) </w:t>
      </w:r>
      <w:r w:rsidR="00907F51">
        <w:rPr>
          <w:rFonts w:ascii="Microsoft Sans Serif" w:hAnsi="Microsoft Sans Serif" w:cs="Microsoft Sans Serif"/>
        </w:rPr>
        <w:t>below</w:t>
      </w:r>
      <w:r w:rsidR="000F1E23">
        <w:rPr>
          <w:rFonts w:ascii="Microsoft Sans Serif" w:hAnsi="Microsoft Sans Serif" w:cs="Microsoft Sans Serif"/>
        </w:rPr>
        <w:t>).</w:t>
      </w:r>
    </w:p>
    <w:p w:rsidR="00907F51" w:rsidRDefault="00907F51" w:rsidP="000F1E23">
      <w:pPr>
        <w:rPr>
          <w:rFonts w:ascii="Microsoft Sans Serif" w:hAnsi="Microsoft Sans Serif" w:cs="Microsoft Sans Serif"/>
        </w:rPr>
      </w:pPr>
    </w:p>
    <w:tbl>
      <w:tblPr>
        <w:tblW w:w="11342" w:type="dxa"/>
        <w:tblLook w:val="04A0" w:firstRow="1" w:lastRow="0" w:firstColumn="1" w:lastColumn="0" w:noHBand="0" w:noVBand="1"/>
      </w:tblPr>
      <w:tblGrid>
        <w:gridCol w:w="3140"/>
        <w:gridCol w:w="2672"/>
        <w:gridCol w:w="520"/>
        <w:gridCol w:w="2032"/>
        <w:gridCol w:w="1559"/>
        <w:gridCol w:w="1419"/>
      </w:tblGrid>
      <w:tr w:rsidR="00907F51" w:rsidTr="00907F51">
        <w:trPr>
          <w:trHeight w:val="360"/>
        </w:trPr>
        <w:tc>
          <w:tcPr>
            <w:tcW w:w="3140"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b/>
                <w:bCs/>
                <w:color w:val="000000"/>
              </w:rPr>
            </w:pPr>
            <w:r w:rsidRPr="00907F51">
              <w:rPr>
                <w:rFonts w:ascii="Microsoft Sans Serif" w:hAnsi="Microsoft Sans Serif" w:cs="Microsoft Sans Serif"/>
                <w:b/>
                <w:bCs/>
                <w:color w:val="000000"/>
              </w:rPr>
              <w:t>Precept calculation</w:t>
            </w:r>
          </w:p>
        </w:tc>
        <w:tc>
          <w:tcPr>
            <w:tcW w:w="2672"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b/>
                <w:bCs/>
                <w:color w:val="000000"/>
              </w:rPr>
            </w:pPr>
          </w:p>
        </w:tc>
        <w:tc>
          <w:tcPr>
            <w:tcW w:w="520"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2032"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155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c>
          <w:tcPr>
            <w:tcW w:w="141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r>
      <w:tr w:rsidR="00907F51" w:rsidTr="00907F51">
        <w:trPr>
          <w:trHeight w:val="255"/>
        </w:trPr>
        <w:tc>
          <w:tcPr>
            <w:tcW w:w="3140"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c>
          <w:tcPr>
            <w:tcW w:w="2672"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c>
          <w:tcPr>
            <w:tcW w:w="520"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c>
          <w:tcPr>
            <w:tcW w:w="2032"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c>
          <w:tcPr>
            <w:tcW w:w="155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c>
          <w:tcPr>
            <w:tcW w:w="141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r>
      <w:tr w:rsidR="00907F51" w:rsidTr="00907F51">
        <w:trPr>
          <w:trHeight w:val="255"/>
        </w:trPr>
        <w:tc>
          <w:tcPr>
            <w:tcW w:w="3140" w:type="dxa"/>
            <w:tcBorders>
              <w:top w:val="nil"/>
              <w:left w:val="nil"/>
              <w:bottom w:val="single" w:sz="4" w:space="0" w:color="auto"/>
              <w:right w:val="nil"/>
            </w:tcBorders>
            <w:shd w:val="clear" w:color="auto" w:fill="auto"/>
            <w:noWrap/>
            <w:vAlign w:val="bottom"/>
            <w:hideMark/>
          </w:tcPr>
          <w:p w:rsidR="00907F51" w:rsidRPr="00907F51" w:rsidRDefault="00907F51">
            <w:pPr>
              <w:rPr>
                <w:rFonts w:ascii="Microsoft Sans Serif" w:hAnsi="Microsoft Sans Serif" w:cs="Microsoft Sans Serif"/>
                <w:b/>
                <w:bCs/>
                <w:color w:val="000000"/>
                <w:u w:val="single"/>
              </w:rPr>
            </w:pPr>
            <w:r w:rsidRPr="00907F51">
              <w:rPr>
                <w:rFonts w:ascii="Microsoft Sans Serif" w:hAnsi="Microsoft Sans Serif" w:cs="Microsoft Sans Serif"/>
                <w:b/>
                <w:bCs/>
                <w:color w:val="000000"/>
                <w:u w:val="single"/>
              </w:rPr>
              <w:t>Income</w:t>
            </w:r>
          </w:p>
        </w:tc>
        <w:tc>
          <w:tcPr>
            <w:tcW w:w="2672" w:type="dxa"/>
            <w:tcBorders>
              <w:top w:val="nil"/>
              <w:left w:val="nil"/>
              <w:bottom w:val="single" w:sz="4" w:space="0" w:color="auto"/>
              <w:right w:val="nil"/>
            </w:tcBorders>
            <w:shd w:val="clear" w:color="auto" w:fill="auto"/>
            <w:noWrap/>
            <w:vAlign w:val="bottom"/>
            <w:hideMark/>
          </w:tcPr>
          <w:p w:rsidR="00907F51" w:rsidRPr="00907F51" w:rsidRDefault="00907F51">
            <w:pPr>
              <w:rPr>
                <w:rFonts w:ascii="Microsoft Sans Serif" w:hAnsi="Microsoft Sans Serif" w:cs="Microsoft Sans Serif"/>
                <w:b/>
                <w:bCs/>
              </w:rPr>
            </w:pPr>
            <w:r w:rsidRPr="00907F51">
              <w:rPr>
                <w:rFonts w:ascii="Microsoft Sans Serif" w:hAnsi="Microsoft Sans Serif" w:cs="Microsoft Sans Serif"/>
                <w:b/>
                <w:bCs/>
              </w:rPr>
              <w:t> </w:t>
            </w:r>
          </w:p>
        </w:tc>
        <w:tc>
          <w:tcPr>
            <w:tcW w:w="520"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b/>
                <w:bCs/>
              </w:rPr>
            </w:pPr>
          </w:p>
        </w:tc>
        <w:tc>
          <w:tcPr>
            <w:tcW w:w="2032"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155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c>
          <w:tcPr>
            <w:tcW w:w="141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r>
      <w:tr w:rsidR="00907F51" w:rsidTr="00907F51">
        <w:trPr>
          <w:trHeight w:val="255"/>
        </w:trPr>
        <w:tc>
          <w:tcPr>
            <w:tcW w:w="3140" w:type="dxa"/>
            <w:tcBorders>
              <w:top w:val="nil"/>
              <w:left w:val="single" w:sz="4" w:space="0" w:color="auto"/>
              <w:bottom w:val="nil"/>
              <w:right w:val="nil"/>
            </w:tcBorders>
            <w:shd w:val="clear" w:color="auto" w:fill="auto"/>
            <w:noWrap/>
            <w:vAlign w:val="bottom"/>
            <w:hideMark/>
          </w:tcPr>
          <w:p w:rsidR="00907F51" w:rsidRPr="00907F51" w:rsidRDefault="00907F51">
            <w:pPr>
              <w:rPr>
                <w:rFonts w:ascii="Microsoft Sans Serif" w:hAnsi="Microsoft Sans Serif" w:cs="Microsoft Sans Serif"/>
                <w:color w:val="000000"/>
              </w:rPr>
            </w:pPr>
            <w:r w:rsidRPr="00907F51">
              <w:rPr>
                <w:rFonts w:ascii="Microsoft Sans Serif" w:hAnsi="Microsoft Sans Serif" w:cs="Microsoft Sans Serif"/>
                <w:color w:val="000000"/>
              </w:rPr>
              <w:t>Admin</w:t>
            </w:r>
          </w:p>
        </w:tc>
        <w:tc>
          <w:tcPr>
            <w:tcW w:w="2672" w:type="dxa"/>
            <w:tcBorders>
              <w:top w:val="nil"/>
              <w:left w:val="single" w:sz="4" w:space="0" w:color="auto"/>
              <w:bottom w:val="nil"/>
              <w:right w:val="single" w:sz="4" w:space="0" w:color="auto"/>
            </w:tcBorders>
            <w:shd w:val="clear" w:color="auto" w:fill="auto"/>
            <w:noWrap/>
            <w:vAlign w:val="bottom"/>
            <w:hideMark/>
          </w:tcPr>
          <w:p w:rsidR="00907F51" w:rsidRPr="00907F51" w:rsidRDefault="00907F51">
            <w:pPr>
              <w:rPr>
                <w:rFonts w:ascii="Microsoft Sans Serif" w:hAnsi="Microsoft Sans Serif" w:cs="Microsoft Sans Serif"/>
              </w:rPr>
            </w:pPr>
            <w:r w:rsidRPr="00907F51">
              <w:rPr>
                <w:rFonts w:ascii="Microsoft Sans Serif" w:hAnsi="Microsoft Sans Serif" w:cs="Microsoft Sans Serif"/>
              </w:rPr>
              <w:t xml:space="preserve"> £     13,300 </w:t>
            </w:r>
          </w:p>
        </w:tc>
        <w:tc>
          <w:tcPr>
            <w:tcW w:w="520"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2032"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155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c>
          <w:tcPr>
            <w:tcW w:w="141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r>
      <w:tr w:rsidR="00907F51" w:rsidTr="00907F51">
        <w:trPr>
          <w:trHeight w:val="255"/>
        </w:trPr>
        <w:tc>
          <w:tcPr>
            <w:tcW w:w="3140" w:type="dxa"/>
            <w:tcBorders>
              <w:top w:val="nil"/>
              <w:left w:val="single" w:sz="4" w:space="0" w:color="auto"/>
              <w:bottom w:val="nil"/>
              <w:right w:val="nil"/>
            </w:tcBorders>
            <w:shd w:val="clear" w:color="auto" w:fill="auto"/>
            <w:noWrap/>
            <w:vAlign w:val="bottom"/>
            <w:hideMark/>
          </w:tcPr>
          <w:p w:rsidR="00907F51" w:rsidRPr="00907F51" w:rsidRDefault="00907F51">
            <w:pPr>
              <w:rPr>
                <w:rFonts w:ascii="Microsoft Sans Serif" w:hAnsi="Microsoft Sans Serif" w:cs="Microsoft Sans Serif"/>
                <w:color w:val="000000"/>
              </w:rPr>
            </w:pPr>
            <w:r w:rsidRPr="00907F51">
              <w:rPr>
                <w:rFonts w:ascii="Microsoft Sans Serif" w:hAnsi="Microsoft Sans Serif" w:cs="Microsoft Sans Serif"/>
                <w:color w:val="000000"/>
              </w:rPr>
              <w:t>Parks &amp; Open Spaces</w:t>
            </w:r>
          </w:p>
        </w:tc>
        <w:tc>
          <w:tcPr>
            <w:tcW w:w="2672" w:type="dxa"/>
            <w:tcBorders>
              <w:top w:val="nil"/>
              <w:left w:val="single" w:sz="4" w:space="0" w:color="auto"/>
              <w:bottom w:val="nil"/>
              <w:right w:val="single" w:sz="4" w:space="0" w:color="auto"/>
            </w:tcBorders>
            <w:shd w:val="clear" w:color="auto" w:fill="auto"/>
            <w:noWrap/>
            <w:vAlign w:val="bottom"/>
            <w:hideMark/>
          </w:tcPr>
          <w:p w:rsidR="00907F51" w:rsidRPr="00907F51" w:rsidRDefault="00907F51">
            <w:pPr>
              <w:rPr>
                <w:rFonts w:ascii="Microsoft Sans Serif" w:hAnsi="Microsoft Sans Serif" w:cs="Microsoft Sans Serif"/>
              </w:rPr>
            </w:pPr>
            <w:r w:rsidRPr="00907F51">
              <w:rPr>
                <w:rFonts w:ascii="Microsoft Sans Serif" w:hAnsi="Microsoft Sans Serif" w:cs="Microsoft Sans Serif"/>
              </w:rPr>
              <w:t xml:space="preserve"> £       7,900 </w:t>
            </w:r>
          </w:p>
        </w:tc>
        <w:tc>
          <w:tcPr>
            <w:tcW w:w="520"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2032"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155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c>
          <w:tcPr>
            <w:tcW w:w="141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r>
      <w:tr w:rsidR="00907F51" w:rsidTr="00907F51">
        <w:trPr>
          <w:trHeight w:val="255"/>
        </w:trPr>
        <w:tc>
          <w:tcPr>
            <w:tcW w:w="3140" w:type="dxa"/>
            <w:tcBorders>
              <w:top w:val="nil"/>
              <w:left w:val="single" w:sz="4" w:space="0" w:color="auto"/>
              <w:bottom w:val="nil"/>
              <w:right w:val="nil"/>
            </w:tcBorders>
            <w:shd w:val="clear" w:color="auto" w:fill="auto"/>
            <w:noWrap/>
            <w:vAlign w:val="bottom"/>
            <w:hideMark/>
          </w:tcPr>
          <w:p w:rsidR="00907F51" w:rsidRPr="00907F51" w:rsidRDefault="00907F51">
            <w:pPr>
              <w:rPr>
                <w:rFonts w:ascii="Microsoft Sans Serif" w:hAnsi="Microsoft Sans Serif" w:cs="Microsoft Sans Serif"/>
                <w:color w:val="000000"/>
              </w:rPr>
            </w:pPr>
            <w:r w:rsidRPr="00907F51">
              <w:rPr>
                <w:rFonts w:ascii="Microsoft Sans Serif" w:hAnsi="Microsoft Sans Serif" w:cs="Microsoft Sans Serif"/>
                <w:color w:val="000000"/>
              </w:rPr>
              <w:t>Comm Development</w:t>
            </w:r>
          </w:p>
        </w:tc>
        <w:tc>
          <w:tcPr>
            <w:tcW w:w="2672" w:type="dxa"/>
            <w:tcBorders>
              <w:top w:val="nil"/>
              <w:left w:val="single" w:sz="4" w:space="0" w:color="auto"/>
              <w:bottom w:val="nil"/>
              <w:right w:val="single" w:sz="4" w:space="0" w:color="auto"/>
            </w:tcBorders>
            <w:shd w:val="clear" w:color="auto" w:fill="auto"/>
            <w:noWrap/>
            <w:vAlign w:val="bottom"/>
            <w:hideMark/>
          </w:tcPr>
          <w:p w:rsidR="00907F51" w:rsidRPr="00907F51" w:rsidRDefault="00907F51">
            <w:pPr>
              <w:rPr>
                <w:rFonts w:ascii="Microsoft Sans Serif" w:hAnsi="Microsoft Sans Serif" w:cs="Microsoft Sans Serif"/>
              </w:rPr>
            </w:pPr>
            <w:r w:rsidRPr="00907F51">
              <w:rPr>
                <w:rFonts w:ascii="Microsoft Sans Serif" w:hAnsi="Microsoft Sans Serif" w:cs="Microsoft Sans Serif"/>
              </w:rPr>
              <w:t xml:space="preserve"> £       3,150 </w:t>
            </w:r>
          </w:p>
        </w:tc>
        <w:tc>
          <w:tcPr>
            <w:tcW w:w="520"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2032"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155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c>
          <w:tcPr>
            <w:tcW w:w="141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r>
      <w:tr w:rsidR="00907F51" w:rsidTr="00907F51">
        <w:trPr>
          <w:trHeight w:val="255"/>
        </w:trPr>
        <w:tc>
          <w:tcPr>
            <w:tcW w:w="3140" w:type="dxa"/>
            <w:tcBorders>
              <w:top w:val="nil"/>
              <w:left w:val="single" w:sz="4" w:space="0" w:color="auto"/>
              <w:bottom w:val="nil"/>
              <w:right w:val="nil"/>
            </w:tcBorders>
            <w:shd w:val="clear" w:color="auto" w:fill="auto"/>
            <w:noWrap/>
            <w:vAlign w:val="bottom"/>
            <w:hideMark/>
          </w:tcPr>
          <w:p w:rsidR="00907F51" w:rsidRPr="00907F51" w:rsidRDefault="00907F51">
            <w:pPr>
              <w:rPr>
                <w:rFonts w:ascii="Microsoft Sans Serif" w:hAnsi="Microsoft Sans Serif" w:cs="Microsoft Sans Serif"/>
                <w:color w:val="000000"/>
              </w:rPr>
            </w:pPr>
            <w:r w:rsidRPr="00907F51">
              <w:rPr>
                <w:rFonts w:ascii="Microsoft Sans Serif" w:hAnsi="Microsoft Sans Serif" w:cs="Microsoft Sans Serif"/>
                <w:color w:val="000000"/>
              </w:rPr>
              <w:t> </w:t>
            </w:r>
          </w:p>
        </w:tc>
        <w:tc>
          <w:tcPr>
            <w:tcW w:w="2672" w:type="dxa"/>
            <w:tcBorders>
              <w:top w:val="nil"/>
              <w:left w:val="single" w:sz="4" w:space="0" w:color="auto"/>
              <w:bottom w:val="nil"/>
              <w:right w:val="single" w:sz="4" w:space="0" w:color="auto"/>
            </w:tcBorders>
            <w:shd w:val="clear" w:color="auto" w:fill="auto"/>
            <w:noWrap/>
            <w:vAlign w:val="bottom"/>
            <w:hideMark/>
          </w:tcPr>
          <w:p w:rsidR="00907F51" w:rsidRPr="00907F51" w:rsidRDefault="00907F51">
            <w:pPr>
              <w:rPr>
                <w:rFonts w:ascii="Microsoft Sans Serif" w:hAnsi="Microsoft Sans Serif" w:cs="Microsoft Sans Serif"/>
              </w:rPr>
            </w:pPr>
            <w:r w:rsidRPr="00907F51">
              <w:rPr>
                <w:rFonts w:ascii="Microsoft Sans Serif" w:hAnsi="Microsoft Sans Serif" w:cs="Microsoft Sans Serif"/>
              </w:rPr>
              <w:t> </w:t>
            </w:r>
          </w:p>
        </w:tc>
        <w:tc>
          <w:tcPr>
            <w:tcW w:w="520"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2032"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155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c>
          <w:tcPr>
            <w:tcW w:w="141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r>
      <w:tr w:rsidR="00907F51" w:rsidTr="00907F51">
        <w:trPr>
          <w:trHeight w:val="255"/>
        </w:trPr>
        <w:tc>
          <w:tcPr>
            <w:tcW w:w="3140" w:type="dxa"/>
            <w:tcBorders>
              <w:top w:val="single" w:sz="4" w:space="0" w:color="auto"/>
              <w:left w:val="single" w:sz="4" w:space="0" w:color="auto"/>
              <w:bottom w:val="single" w:sz="4" w:space="0" w:color="auto"/>
              <w:right w:val="nil"/>
            </w:tcBorders>
            <w:shd w:val="clear" w:color="auto" w:fill="auto"/>
            <w:noWrap/>
            <w:vAlign w:val="bottom"/>
            <w:hideMark/>
          </w:tcPr>
          <w:p w:rsidR="00907F51" w:rsidRPr="00907F51" w:rsidRDefault="00907F51">
            <w:pPr>
              <w:rPr>
                <w:rFonts w:ascii="Microsoft Sans Serif" w:hAnsi="Microsoft Sans Serif" w:cs="Microsoft Sans Serif"/>
                <w:b/>
                <w:bCs/>
                <w:color w:val="000000"/>
              </w:rPr>
            </w:pPr>
            <w:r w:rsidRPr="00907F51">
              <w:rPr>
                <w:rFonts w:ascii="Microsoft Sans Serif" w:hAnsi="Microsoft Sans Serif" w:cs="Microsoft Sans Serif"/>
                <w:b/>
                <w:bCs/>
                <w:color w:val="000000"/>
              </w:rPr>
              <w:t>Total</w:t>
            </w:r>
          </w:p>
        </w:tc>
        <w:tc>
          <w:tcPr>
            <w:tcW w:w="2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F51" w:rsidRPr="00907F51" w:rsidRDefault="00907F51">
            <w:pPr>
              <w:rPr>
                <w:rFonts w:ascii="Microsoft Sans Serif" w:hAnsi="Microsoft Sans Serif" w:cs="Microsoft Sans Serif"/>
                <w:b/>
                <w:bCs/>
              </w:rPr>
            </w:pPr>
            <w:r w:rsidRPr="00907F51">
              <w:rPr>
                <w:rFonts w:ascii="Microsoft Sans Serif" w:hAnsi="Microsoft Sans Serif" w:cs="Microsoft Sans Serif"/>
                <w:b/>
                <w:bCs/>
              </w:rPr>
              <w:t xml:space="preserve"> £     24,350 </w:t>
            </w:r>
          </w:p>
        </w:tc>
        <w:tc>
          <w:tcPr>
            <w:tcW w:w="520"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b/>
                <w:bCs/>
              </w:rPr>
            </w:pPr>
          </w:p>
        </w:tc>
        <w:tc>
          <w:tcPr>
            <w:tcW w:w="2032"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155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c>
          <w:tcPr>
            <w:tcW w:w="141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r>
      <w:tr w:rsidR="00907F51" w:rsidTr="00907F51">
        <w:trPr>
          <w:trHeight w:val="255"/>
        </w:trPr>
        <w:tc>
          <w:tcPr>
            <w:tcW w:w="3140"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c>
          <w:tcPr>
            <w:tcW w:w="2672"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520"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2032"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155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c>
          <w:tcPr>
            <w:tcW w:w="141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r>
      <w:tr w:rsidR="00907F51" w:rsidTr="00907F51">
        <w:trPr>
          <w:trHeight w:val="255"/>
        </w:trPr>
        <w:tc>
          <w:tcPr>
            <w:tcW w:w="3140"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b/>
                <w:bCs/>
                <w:color w:val="000000"/>
                <w:u w:val="single"/>
              </w:rPr>
            </w:pPr>
            <w:r w:rsidRPr="00907F51">
              <w:rPr>
                <w:rFonts w:ascii="Microsoft Sans Serif" w:hAnsi="Microsoft Sans Serif" w:cs="Microsoft Sans Serif"/>
                <w:b/>
                <w:bCs/>
                <w:color w:val="000000"/>
                <w:u w:val="single"/>
              </w:rPr>
              <w:t>Expenditure</w:t>
            </w:r>
          </w:p>
        </w:tc>
        <w:tc>
          <w:tcPr>
            <w:tcW w:w="2672"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b/>
                <w:bCs/>
                <w:color w:val="000000"/>
              </w:rPr>
            </w:pPr>
          </w:p>
        </w:tc>
        <w:tc>
          <w:tcPr>
            <w:tcW w:w="520"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2032"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155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c>
          <w:tcPr>
            <w:tcW w:w="141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r>
      <w:tr w:rsidR="00907F51" w:rsidTr="00907F51">
        <w:trPr>
          <w:trHeight w:val="255"/>
        </w:trPr>
        <w:tc>
          <w:tcPr>
            <w:tcW w:w="3140" w:type="dxa"/>
            <w:tcBorders>
              <w:top w:val="single" w:sz="4" w:space="0" w:color="auto"/>
              <w:left w:val="single" w:sz="4" w:space="0" w:color="auto"/>
              <w:bottom w:val="nil"/>
              <w:right w:val="nil"/>
            </w:tcBorders>
            <w:shd w:val="clear" w:color="auto" w:fill="auto"/>
            <w:noWrap/>
            <w:vAlign w:val="bottom"/>
            <w:hideMark/>
          </w:tcPr>
          <w:p w:rsidR="00907F51" w:rsidRPr="00907F51" w:rsidRDefault="00907F51">
            <w:pPr>
              <w:rPr>
                <w:rFonts w:ascii="Microsoft Sans Serif" w:hAnsi="Microsoft Sans Serif" w:cs="Microsoft Sans Serif"/>
                <w:color w:val="000000"/>
              </w:rPr>
            </w:pPr>
            <w:r w:rsidRPr="00907F51">
              <w:rPr>
                <w:rFonts w:ascii="Microsoft Sans Serif" w:hAnsi="Microsoft Sans Serif" w:cs="Microsoft Sans Serif"/>
                <w:color w:val="000000"/>
              </w:rPr>
              <w:t>Admin</w:t>
            </w:r>
          </w:p>
        </w:tc>
        <w:tc>
          <w:tcPr>
            <w:tcW w:w="2672" w:type="dxa"/>
            <w:tcBorders>
              <w:top w:val="single" w:sz="4" w:space="0" w:color="auto"/>
              <w:left w:val="single" w:sz="4" w:space="0" w:color="auto"/>
              <w:bottom w:val="nil"/>
              <w:right w:val="single" w:sz="4" w:space="0" w:color="auto"/>
            </w:tcBorders>
            <w:shd w:val="clear" w:color="auto" w:fill="auto"/>
            <w:noWrap/>
            <w:vAlign w:val="bottom"/>
            <w:hideMark/>
          </w:tcPr>
          <w:p w:rsidR="00907F51" w:rsidRPr="00907F51" w:rsidRDefault="00907F51">
            <w:pPr>
              <w:rPr>
                <w:rFonts w:ascii="Microsoft Sans Serif" w:hAnsi="Microsoft Sans Serif" w:cs="Microsoft Sans Serif"/>
              </w:rPr>
            </w:pPr>
            <w:r w:rsidRPr="00907F51">
              <w:rPr>
                <w:rFonts w:ascii="Microsoft Sans Serif" w:hAnsi="Microsoft Sans Serif" w:cs="Microsoft Sans Serif"/>
              </w:rPr>
              <w:t xml:space="preserve"> £    468,681 </w:t>
            </w:r>
          </w:p>
        </w:tc>
        <w:tc>
          <w:tcPr>
            <w:tcW w:w="520"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2032"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155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c>
          <w:tcPr>
            <w:tcW w:w="141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r>
      <w:tr w:rsidR="00907F51" w:rsidTr="00907F51">
        <w:trPr>
          <w:trHeight w:val="255"/>
        </w:trPr>
        <w:tc>
          <w:tcPr>
            <w:tcW w:w="3140" w:type="dxa"/>
            <w:tcBorders>
              <w:top w:val="nil"/>
              <w:left w:val="single" w:sz="4" w:space="0" w:color="auto"/>
              <w:bottom w:val="nil"/>
              <w:right w:val="nil"/>
            </w:tcBorders>
            <w:shd w:val="clear" w:color="auto" w:fill="auto"/>
            <w:noWrap/>
            <w:vAlign w:val="bottom"/>
            <w:hideMark/>
          </w:tcPr>
          <w:p w:rsidR="00907F51" w:rsidRPr="00907F51" w:rsidRDefault="00907F51">
            <w:pPr>
              <w:rPr>
                <w:rFonts w:ascii="Microsoft Sans Serif" w:hAnsi="Microsoft Sans Serif" w:cs="Microsoft Sans Serif"/>
                <w:color w:val="000000"/>
              </w:rPr>
            </w:pPr>
            <w:r w:rsidRPr="00907F51">
              <w:rPr>
                <w:rFonts w:ascii="Microsoft Sans Serif" w:hAnsi="Microsoft Sans Serif" w:cs="Microsoft Sans Serif"/>
                <w:color w:val="000000"/>
              </w:rPr>
              <w:t>Open Spaces</w:t>
            </w:r>
          </w:p>
        </w:tc>
        <w:tc>
          <w:tcPr>
            <w:tcW w:w="2672" w:type="dxa"/>
            <w:tcBorders>
              <w:top w:val="nil"/>
              <w:left w:val="single" w:sz="4" w:space="0" w:color="auto"/>
              <w:bottom w:val="nil"/>
              <w:right w:val="single" w:sz="4" w:space="0" w:color="auto"/>
            </w:tcBorders>
            <w:shd w:val="clear" w:color="auto" w:fill="auto"/>
            <w:noWrap/>
            <w:vAlign w:val="bottom"/>
            <w:hideMark/>
          </w:tcPr>
          <w:p w:rsidR="00907F51" w:rsidRPr="00907F51" w:rsidRDefault="00907F51">
            <w:pPr>
              <w:rPr>
                <w:rFonts w:ascii="Microsoft Sans Serif" w:hAnsi="Microsoft Sans Serif" w:cs="Microsoft Sans Serif"/>
              </w:rPr>
            </w:pPr>
            <w:r w:rsidRPr="00907F51">
              <w:rPr>
                <w:rFonts w:ascii="Microsoft Sans Serif" w:hAnsi="Microsoft Sans Serif" w:cs="Microsoft Sans Serif"/>
              </w:rPr>
              <w:t xml:space="preserve"> £    235,136 </w:t>
            </w:r>
          </w:p>
        </w:tc>
        <w:tc>
          <w:tcPr>
            <w:tcW w:w="520"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2032"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155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c>
          <w:tcPr>
            <w:tcW w:w="141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r>
      <w:tr w:rsidR="00907F51" w:rsidTr="00907F51">
        <w:trPr>
          <w:trHeight w:val="255"/>
        </w:trPr>
        <w:tc>
          <w:tcPr>
            <w:tcW w:w="3140" w:type="dxa"/>
            <w:tcBorders>
              <w:top w:val="nil"/>
              <w:left w:val="single" w:sz="4" w:space="0" w:color="auto"/>
              <w:bottom w:val="nil"/>
              <w:right w:val="nil"/>
            </w:tcBorders>
            <w:shd w:val="clear" w:color="auto" w:fill="auto"/>
            <w:noWrap/>
            <w:vAlign w:val="bottom"/>
            <w:hideMark/>
          </w:tcPr>
          <w:p w:rsidR="00907F51" w:rsidRPr="00907F51" w:rsidRDefault="00907F51">
            <w:pPr>
              <w:rPr>
                <w:rFonts w:ascii="Microsoft Sans Serif" w:hAnsi="Microsoft Sans Serif" w:cs="Microsoft Sans Serif"/>
                <w:color w:val="000000"/>
              </w:rPr>
            </w:pPr>
            <w:r w:rsidRPr="00907F51">
              <w:rPr>
                <w:rFonts w:ascii="Microsoft Sans Serif" w:hAnsi="Microsoft Sans Serif" w:cs="Microsoft Sans Serif"/>
                <w:color w:val="000000"/>
              </w:rPr>
              <w:t>Comm Development</w:t>
            </w:r>
          </w:p>
        </w:tc>
        <w:tc>
          <w:tcPr>
            <w:tcW w:w="2672" w:type="dxa"/>
            <w:tcBorders>
              <w:top w:val="nil"/>
              <w:left w:val="single" w:sz="4" w:space="0" w:color="auto"/>
              <w:bottom w:val="nil"/>
              <w:right w:val="single" w:sz="4" w:space="0" w:color="auto"/>
            </w:tcBorders>
            <w:shd w:val="clear" w:color="auto" w:fill="auto"/>
            <w:noWrap/>
            <w:vAlign w:val="bottom"/>
            <w:hideMark/>
          </w:tcPr>
          <w:p w:rsidR="00907F51" w:rsidRPr="00907F51" w:rsidRDefault="00907F51">
            <w:pPr>
              <w:rPr>
                <w:rFonts w:ascii="Microsoft Sans Serif" w:hAnsi="Microsoft Sans Serif" w:cs="Microsoft Sans Serif"/>
              </w:rPr>
            </w:pPr>
            <w:r w:rsidRPr="00907F51">
              <w:rPr>
                <w:rFonts w:ascii="Microsoft Sans Serif" w:hAnsi="Microsoft Sans Serif" w:cs="Microsoft Sans Serif"/>
              </w:rPr>
              <w:t xml:space="preserve"> £     60,970 </w:t>
            </w:r>
          </w:p>
        </w:tc>
        <w:tc>
          <w:tcPr>
            <w:tcW w:w="520"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2032"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155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c>
          <w:tcPr>
            <w:tcW w:w="141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r>
      <w:tr w:rsidR="00907F51" w:rsidTr="00907F51">
        <w:trPr>
          <w:trHeight w:val="255"/>
        </w:trPr>
        <w:tc>
          <w:tcPr>
            <w:tcW w:w="3140" w:type="dxa"/>
            <w:tcBorders>
              <w:top w:val="nil"/>
              <w:left w:val="single" w:sz="4" w:space="0" w:color="auto"/>
              <w:bottom w:val="nil"/>
              <w:right w:val="nil"/>
            </w:tcBorders>
            <w:shd w:val="clear" w:color="auto" w:fill="auto"/>
            <w:noWrap/>
            <w:vAlign w:val="bottom"/>
            <w:hideMark/>
          </w:tcPr>
          <w:p w:rsidR="00907F51" w:rsidRPr="00907F51" w:rsidRDefault="00907F51">
            <w:pPr>
              <w:rPr>
                <w:rFonts w:ascii="Microsoft Sans Serif" w:hAnsi="Microsoft Sans Serif" w:cs="Microsoft Sans Serif"/>
                <w:color w:val="000000"/>
              </w:rPr>
            </w:pPr>
            <w:r w:rsidRPr="00907F51">
              <w:rPr>
                <w:rFonts w:ascii="Microsoft Sans Serif" w:hAnsi="Microsoft Sans Serif" w:cs="Microsoft Sans Serif"/>
                <w:color w:val="000000"/>
              </w:rPr>
              <w:t> </w:t>
            </w:r>
          </w:p>
        </w:tc>
        <w:tc>
          <w:tcPr>
            <w:tcW w:w="2672" w:type="dxa"/>
            <w:tcBorders>
              <w:top w:val="nil"/>
              <w:left w:val="single" w:sz="4" w:space="0" w:color="auto"/>
              <w:bottom w:val="nil"/>
              <w:right w:val="single" w:sz="4" w:space="0" w:color="auto"/>
            </w:tcBorders>
            <w:shd w:val="clear" w:color="auto" w:fill="auto"/>
            <w:noWrap/>
            <w:vAlign w:val="bottom"/>
            <w:hideMark/>
          </w:tcPr>
          <w:p w:rsidR="00907F51" w:rsidRPr="00907F51" w:rsidRDefault="00907F51">
            <w:pPr>
              <w:rPr>
                <w:rFonts w:ascii="Microsoft Sans Serif" w:hAnsi="Microsoft Sans Serif" w:cs="Microsoft Sans Serif"/>
              </w:rPr>
            </w:pPr>
            <w:r w:rsidRPr="00907F51">
              <w:rPr>
                <w:rFonts w:ascii="Microsoft Sans Serif" w:hAnsi="Microsoft Sans Serif" w:cs="Microsoft Sans Serif"/>
              </w:rPr>
              <w:t> </w:t>
            </w:r>
          </w:p>
        </w:tc>
        <w:tc>
          <w:tcPr>
            <w:tcW w:w="520"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2032"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155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c>
          <w:tcPr>
            <w:tcW w:w="141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r>
      <w:tr w:rsidR="00907F51" w:rsidTr="00907F51">
        <w:trPr>
          <w:trHeight w:val="255"/>
        </w:trPr>
        <w:tc>
          <w:tcPr>
            <w:tcW w:w="3140" w:type="dxa"/>
            <w:tcBorders>
              <w:top w:val="single" w:sz="4" w:space="0" w:color="auto"/>
              <w:left w:val="single" w:sz="4" w:space="0" w:color="auto"/>
              <w:bottom w:val="single" w:sz="4" w:space="0" w:color="auto"/>
              <w:right w:val="nil"/>
            </w:tcBorders>
            <w:shd w:val="clear" w:color="auto" w:fill="auto"/>
            <w:noWrap/>
            <w:vAlign w:val="bottom"/>
            <w:hideMark/>
          </w:tcPr>
          <w:p w:rsidR="00907F51" w:rsidRPr="00907F51" w:rsidRDefault="00907F51">
            <w:pPr>
              <w:rPr>
                <w:rFonts w:ascii="Microsoft Sans Serif" w:hAnsi="Microsoft Sans Serif" w:cs="Microsoft Sans Serif"/>
                <w:b/>
                <w:bCs/>
                <w:color w:val="000000"/>
              </w:rPr>
            </w:pPr>
            <w:r w:rsidRPr="00907F51">
              <w:rPr>
                <w:rFonts w:ascii="Microsoft Sans Serif" w:hAnsi="Microsoft Sans Serif" w:cs="Microsoft Sans Serif"/>
                <w:b/>
                <w:bCs/>
                <w:color w:val="000000"/>
              </w:rPr>
              <w:t>Total</w:t>
            </w:r>
          </w:p>
        </w:tc>
        <w:tc>
          <w:tcPr>
            <w:tcW w:w="2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F51" w:rsidRPr="00907F51" w:rsidRDefault="00907F51">
            <w:pPr>
              <w:rPr>
                <w:rFonts w:ascii="Microsoft Sans Serif" w:hAnsi="Microsoft Sans Serif" w:cs="Microsoft Sans Serif"/>
                <w:b/>
                <w:bCs/>
              </w:rPr>
            </w:pPr>
            <w:r w:rsidRPr="00907F51">
              <w:rPr>
                <w:rFonts w:ascii="Microsoft Sans Serif" w:hAnsi="Microsoft Sans Serif" w:cs="Microsoft Sans Serif"/>
                <w:b/>
                <w:bCs/>
              </w:rPr>
              <w:t xml:space="preserve"> £    764,787 </w:t>
            </w:r>
          </w:p>
        </w:tc>
        <w:tc>
          <w:tcPr>
            <w:tcW w:w="520"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b/>
                <w:bCs/>
              </w:rPr>
            </w:pPr>
          </w:p>
        </w:tc>
        <w:tc>
          <w:tcPr>
            <w:tcW w:w="2032"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155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c>
          <w:tcPr>
            <w:tcW w:w="141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r>
      <w:tr w:rsidR="00907F51" w:rsidTr="00907F51">
        <w:trPr>
          <w:trHeight w:val="270"/>
        </w:trPr>
        <w:tc>
          <w:tcPr>
            <w:tcW w:w="3140"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c>
          <w:tcPr>
            <w:tcW w:w="2672"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520"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2032"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155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b/>
                <w:bCs/>
                <w:color w:val="FF0000"/>
              </w:rPr>
            </w:pPr>
            <w:r w:rsidRPr="00907F51">
              <w:rPr>
                <w:rFonts w:ascii="Microsoft Sans Serif" w:hAnsi="Microsoft Sans Serif" w:cs="Microsoft Sans Serif"/>
                <w:b/>
                <w:bCs/>
                <w:color w:val="FF0000"/>
              </w:rPr>
              <w:t>B)</w:t>
            </w:r>
          </w:p>
        </w:tc>
        <w:tc>
          <w:tcPr>
            <w:tcW w:w="141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b/>
                <w:bCs/>
                <w:color w:val="FF0000"/>
              </w:rPr>
            </w:pPr>
          </w:p>
        </w:tc>
      </w:tr>
      <w:tr w:rsidR="00907F51" w:rsidTr="00907F51">
        <w:trPr>
          <w:trHeight w:val="255"/>
        </w:trPr>
        <w:tc>
          <w:tcPr>
            <w:tcW w:w="3140" w:type="dxa"/>
            <w:tcBorders>
              <w:top w:val="single" w:sz="4" w:space="0" w:color="auto"/>
              <w:left w:val="single" w:sz="4" w:space="0" w:color="auto"/>
              <w:bottom w:val="nil"/>
              <w:right w:val="nil"/>
            </w:tcBorders>
            <w:shd w:val="clear" w:color="auto" w:fill="auto"/>
            <w:noWrap/>
            <w:vAlign w:val="bottom"/>
            <w:hideMark/>
          </w:tcPr>
          <w:p w:rsidR="00907F51" w:rsidRPr="00907F51" w:rsidRDefault="00907F51">
            <w:pPr>
              <w:rPr>
                <w:rFonts w:ascii="Microsoft Sans Serif" w:hAnsi="Microsoft Sans Serif" w:cs="Microsoft Sans Serif"/>
                <w:b/>
                <w:bCs/>
                <w:color w:val="000000"/>
              </w:rPr>
            </w:pPr>
            <w:r w:rsidRPr="00907F51">
              <w:rPr>
                <w:rFonts w:ascii="Microsoft Sans Serif" w:hAnsi="Microsoft Sans Serif" w:cs="Microsoft Sans Serif"/>
                <w:b/>
                <w:bCs/>
                <w:color w:val="000000"/>
              </w:rPr>
              <w:t>Net Precept requirement</w:t>
            </w:r>
          </w:p>
        </w:tc>
        <w:tc>
          <w:tcPr>
            <w:tcW w:w="2672" w:type="dxa"/>
            <w:tcBorders>
              <w:top w:val="single" w:sz="4" w:space="0" w:color="auto"/>
              <w:left w:val="single" w:sz="4" w:space="0" w:color="auto"/>
              <w:bottom w:val="nil"/>
              <w:right w:val="single" w:sz="4" w:space="0" w:color="auto"/>
            </w:tcBorders>
            <w:shd w:val="clear" w:color="auto" w:fill="auto"/>
            <w:noWrap/>
            <w:vAlign w:val="bottom"/>
            <w:hideMark/>
          </w:tcPr>
          <w:p w:rsidR="00907F51" w:rsidRPr="00907F51" w:rsidRDefault="00907F51">
            <w:pPr>
              <w:rPr>
                <w:rFonts w:ascii="Microsoft Sans Serif" w:hAnsi="Microsoft Sans Serif" w:cs="Microsoft Sans Serif"/>
                <w:b/>
                <w:bCs/>
              </w:rPr>
            </w:pPr>
            <w:r w:rsidRPr="00907F51">
              <w:rPr>
                <w:rFonts w:ascii="Microsoft Sans Serif" w:hAnsi="Microsoft Sans Serif" w:cs="Microsoft Sans Serif"/>
                <w:b/>
                <w:bCs/>
              </w:rPr>
              <w:t xml:space="preserve"> £    740,437 </w:t>
            </w:r>
          </w:p>
        </w:tc>
        <w:tc>
          <w:tcPr>
            <w:tcW w:w="520"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b/>
                <w:bCs/>
                <w:color w:val="FF0000"/>
              </w:rPr>
            </w:pPr>
            <w:r w:rsidRPr="00907F51">
              <w:rPr>
                <w:rFonts w:ascii="Microsoft Sans Serif" w:hAnsi="Microsoft Sans Serif" w:cs="Microsoft Sans Serif"/>
                <w:b/>
                <w:bCs/>
                <w:color w:val="FF0000"/>
              </w:rPr>
              <w:t>A)</w:t>
            </w:r>
          </w:p>
        </w:tc>
        <w:tc>
          <w:tcPr>
            <w:tcW w:w="203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07F51" w:rsidRPr="00907F51" w:rsidRDefault="00907F51">
            <w:pPr>
              <w:rPr>
                <w:rFonts w:ascii="Microsoft Sans Serif" w:hAnsi="Microsoft Sans Serif" w:cs="Microsoft Sans Serif"/>
                <w:b/>
                <w:bCs/>
              </w:rPr>
            </w:pPr>
            <w:r w:rsidRPr="00907F51">
              <w:rPr>
                <w:rFonts w:ascii="Microsoft Sans Serif" w:hAnsi="Microsoft Sans Serif" w:cs="Microsoft Sans Serif"/>
                <w:b/>
                <w:bCs/>
              </w:rPr>
              <w:t xml:space="preserve"> £        694,051 </w:t>
            </w:r>
          </w:p>
        </w:tc>
        <w:tc>
          <w:tcPr>
            <w:tcW w:w="1559" w:type="dxa"/>
            <w:tcBorders>
              <w:top w:val="single" w:sz="8" w:space="0" w:color="auto"/>
              <w:left w:val="nil"/>
              <w:bottom w:val="nil"/>
              <w:right w:val="single" w:sz="4" w:space="0" w:color="auto"/>
            </w:tcBorders>
            <w:shd w:val="clear" w:color="auto" w:fill="auto"/>
            <w:noWrap/>
            <w:vAlign w:val="bottom"/>
            <w:hideMark/>
          </w:tcPr>
          <w:p w:rsidR="00907F51" w:rsidRPr="00907F51" w:rsidRDefault="00907F51">
            <w:pPr>
              <w:rPr>
                <w:rFonts w:ascii="Microsoft Sans Serif" w:hAnsi="Microsoft Sans Serif" w:cs="Microsoft Sans Serif"/>
                <w:b/>
                <w:bCs/>
              </w:rPr>
            </w:pPr>
            <w:r w:rsidRPr="00907F51">
              <w:rPr>
                <w:rFonts w:ascii="Microsoft Sans Serif" w:hAnsi="Microsoft Sans Serif" w:cs="Microsoft Sans Serif"/>
                <w:b/>
                <w:bCs/>
              </w:rPr>
              <w:t xml:space="preserve"> £    46,386 </w:t>
            </w:r>
          </w:p>
        </w:tc>
        <w:tc>
          <w:tcPr>
            <w:tcW w:w="1419" w:type="dxa"/>
            <w:tcBorders>
              <w:top w:val="single" w:sz="8" w:space="0" w:color="auto"/>
              <w:left w:val="nil"/>
              <w:bottom w:val="single" w:sz="4" w:space="0" w:color="auto"/>
              <w:right w:val="single" w:sz="8" w:space="0" w:color="auto"/>
            </w:tcBorders>
            <w:shd w:val="clear" w:color="auto" w:fill="auto"/>
            <w:noWrap/>
            <w:vAlign w:val="bottom"/>
            <w:hideMark/>
          </w:tcPr>
          <w:p w:rsidR="00907F51" w:rsidRPr="00907F51" w:rsidRDefault="00907F51">
            <w:pPr>
              <w:jc w:val="center"/>
              <w:rPr>
                <w:rFonts w:ascii="Microsoft Sans Serif" w:hAnsi="Microsoft Sans Serif" w:cs="Microsoft Sans Serif"/>
              </w:rPr>
            </w:pPr>
            <w:r w:rsidRPr="00907F51">
              <w:rPr>
                <w:rFonts w:ascii="Microsoft Sans Serif" w:hAnsi="Microsoft Sans Serif" w:cs="Microsoft Sans Serif"/>
              </w:rPr>
              <w:t>6.68%</w:t>
            </w:r>
          </w:p>
        </w:tc>
      </w:tr>
      <w:tr w:rsidR="00907F51" w:rsidTr="00907F51">
        <w:trPr>
          <w:trHeight w:val="255"/>
        </w:trPr>
        <w:tc>
          <w:tcPr>
            <w:tcW w:w="3140" w:type="dxa"/>
            <w:tcBorders>
              <w:top w:val="nil"/>
              <w:left w:val="single" w:sz="4" w:space="0" w:color="auto"/>
              <w:bottom w:val="nil"/>
              <w:right w:val="nil"/>
            </w:tcBorders>
            <w:shd w:val="clear" w:color="auto" w:fill="auto"/>
            <w:noWrap/>
            <w:vAlign w:val="bottom"/>
            <w:hideMark/>
          </w:tcPr>
          <w:p w:rsidR="00907F51" w:rsidRPr="00907F51" w:rsidRDefault="00907F51">
            <w:pPr>
              <w:rPr>
                <w:rFonts w:ascii="Microsoft Sans Serif" w:hAnsi="Microsoft Sans Serif" w:cs="Microsoft Sans Serif"/>
                <w:b/>
                <w:bCs/>
                <w:color w:val="000000"/>
              </w:rPr>
            </w:pPr>
            <w:r w:rsidRPr="00907F51">
              <w:rPr>
                <w:rFonts w:ascii="Microsoft Sans Serif" w:hAnsi="Microsoft Sans Serif" w:cs="Microsoft Sans Serif"/>
                <w:b/>
                <w:bCs/>
                <w:color w:val="000000"/>
              </w:rPr>
              <w:lastRenderedPageBreak/>
              <w:t>Tax Base (Band D)</w:t>
            </w:r>
          </w:p>
        </w:tc>
        <w:tc>
          <w:tcPr>
            <w:tcW w:w="2672" w:type="dxa"/>
            <w:tcBorders>
              <w:top w:val="nil"/>
              <w:left w:val="single" w:sz="4" w:space="0" w:color="auto"/>
              <w:bottom w:val="nil"/>
              <w:right w:val="single" w:sz="4" w:space="0" w:color="auto"/>
            </w:tcBorders>
            <w:shd w:val="clear" w:color="auto" w:fill="auto"/>
            <w:noWrap/>
            <w:vAlign w:val="bottom"/>
            <w:hideMark/>
          </w:tcPr>
          <w:p w:rsidR="00907F51" w:rsidRPr="00907F51" w:rsidRDefault="00907F51">
            <w:pPr>
              <w:jc w:val="right"/>
              <w:rPr>
                <w:rFonts w:ascii="Microsoft Sans Serif" w:hAnsi="Microsoft Sans Serif" w:cs="Microsoft Sans Serif"/>
                <w:b/>
                <w:bCs/>
                <w:color w:val="C0C0C0"/>
              </w:rPr>
            </w:pPr>
            <w:r w:rsidRPr="00907F51">
              <w:rPr>
                <w:rFonts w:ascii="Microsoft Sans Serif" w:hAnsi="Microsoft Sans Serif" w:cs="Microsoft Sans Serif"/>
                <w:b/>
                <w:bCs/>
                <w:color w:val="C0C0C0"/>
              </w:rPr>
              <w:t>5415</w:t>
            </w:r>
          </w:p>
        </w:tc>
        <w:tc>
          <w:tcPr>
            <w:tcW w:w="520"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b/>
                <w:bCs/>
                <w:color w:val="FF0000"/>
              </w:rPr>
            </w:pPr>
            <w:r w:rsidRPr="00907F51">
              <w:rPr>
                <w:rFonts w:ascii="Microsoft Sans Serif" w:hAnsi="Microsoft Sans Serif" w:cs="Microsoft Sans Serif"/>
                <w:b/>
                <w:bCs/>
                <w:color w:val="FF0000"/>
              </w:rPr>
              <w:t>C)</w:t>
            </w:r>
          </w:p>
        </w:tc>
        <w:tc>
          <w:tcPr>
            <w:tcW w:w="2032" w:type="dxa"/>
            <w:tcBorders>
              <w:top w:val="nil"/>
              <w:left w:val="single" w:sz="8" w:space="0" w:color="auto"/>
              <w:bottom w:val="single" w:sz="4" w:space="0" w:color="auto"/>
              <w:right w:val="single" w:sz="4" w:space="0" w:color="auto"/>
            </w:tcBorders>
            <w:shd w:val="clear" w:color="auto" w:fill="auto"/>
            <w:noWrap/>
            <w:vAlign w:val="bottom"/>
            <w:hideMark/>
          </w:tcPr>
          <w:p w:rsidR="00907F51" w:rsidRPr="00907F51" w:rsidRDefault="00907F51">
            <w:pPr>
              <w:jc w:val="center"/>
              <w:rPr>
                <w:rFonts w:ascii="Microsoft Sans Serif" w:hAnsi="Microsoft Sans Serif" w:cs="Microsoft Sans Serif"/>
                <w:b/>
                <w:bCs/>
                <w:color w:val="0000FF"/>
              </w:rPr>
            </w:pPr>
            <w:r w:rsidRPr="00907F51">
              <w:rPr>
                <w:rFonts w:ascii="Microsoft Sans Serif" w:hAnsi="Microsoft Sans Serif" w:cs="Microsoft Sans Serif"/>
                <w:b/>
                <w:bCs/>
                <w:color w:val="0000FF"/>
              </w:rPr>
              <w:t>Previous year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07F51" w:rsidRPr="00907F51" w:rsidRDefault="00907F51">
            <w:pPr>
              <w:jc w:val="center"/>
              <w:rPr>
                <w:rFonts w:ascii="Microsoft Sans Serif" w:hAnsi="Microsoft Sans Serif" w:cs="Microsoft Sans Serif"/>
                <w:b/>
                <w:bCs/>
                <w:color w:val="0000FF"/>
              </w:rPr>
            </w:pPr>
            <w:r w:rsidRPr="00907F51">
              <w:rPr>
                <w:rFonts w:ascii="Microsoft Sans Serif" w:hAnsi="Microsoft Sans Serif" w:cs="Microsoft Sans Serif"/>
                <w:b/>
                <w:bCs/>
                <w:color w:val="0000FF"/>
              </w:rPr>
              <w:t>difference</w:t>
            </w:r>
          </w:p>
        </w:tc>
        <w:tc>
          <w:tcPr>
            <w:tcW w:w="1419" w:type="dxa"/>
            <w:tcBorders>
              <w:top w:val="nil"/>
              <w:left w:val="nil"/>
              <w:bottom w:val="single" w:sz="4" w:space="0" w:color="auto"/>
              <w:right w:val="single" w:sz="8" w:space="0" w:color="auto"/>
            </w:tcBorders>
            <w:shd w:val="clear" w:color="auto" w:fill="auto"/>
            <w:noWrap/>
            <w:vAlign w:val="bottom"/>
            <w:hideMark/>
          </w:tcPr>
          <w:p w:rsidR="00907F51" w:rsidRPr="00907F51" w:rsidRDefault="00907F51">
            <w:pPr>
              <w:jc w:val="center"/>
              <w:rPr>
                <w:rFonts w:ascii="Microsoft Sans Serif" w:hAnsi="Microsoft Sans Serif" w:cs="Microsoft Sans Serif"/>
                <w:b/>
                <w:bCs/>
                <w:color w:val="0000FF"/>
              </w:rPr>
            </w:pPr>
            <w:r w:rsidRPr="00907F51">
              <w:rPr>
                <w:rFonts w:ascii="Microsoft Sans Serif" w:hAnsi="Microsoft Sans Serif" w:cs="Microsoft Sans Serif"/>
                <w:b/>
                <w:bCs/>
                <w:color w:val="0000FF"/>
              </w:rPr>
              <w:t xml:space="preserve"> percentage </w:t>
            </w:r>
          </w:p>
        </w:tc>
      </w:tr>
      <w:tr w:rsidR="00907F51" w:rsidTr="00907F51">
        <w:trPr>
          <w:trHeight w:val="255"/>
        </w:trPr>
        <w:tc>
          <w:tcPr>
            <w:tcW w:w="3140" w:type="dxa"/>
            <w:tcBorders>
              <w:top w:val="nil"/>
              <w:left w:val="single" w:sz="4" w:space="0" w:color="auto"/>
              <w:bottom w:val="nil"/>
              <w:right w:val="nil"/>
            </w:tcBorders>
            <w:shd w:val="clear" w:color="auto" w:fill="auto"/>
            <w:noWrap/>
            <w:vAlign w:val="bottom"/>
            <w:hideMark/>
          </w:tcPr>
          <w:p w:rsidR="00907F51" w:rsidRPr="00907F51" w:rsidRDefault="00907F51">
            <w:pPr>
              <w:rPr>
                <w:rFonts w:ascii="Microsoft Sans Serif" w:hAnsi="Microsoft Sans Serif" w:cs="Microsoft Sans Serif"/>
                <w:color w:val="000000"/>
              </w:rPr>
            </w:pPr>
            <w:r w:rsidRPr="00907F51">
              <w:rPr>
                <w:rFonts w:ascii="Microsoft Sans Serif" w:hAnsi="Microsoft Sans Serif" w:cs="Microsoft Sans Serif"/>
                <w:color w:val="000000"/>
              </w:rPr>
              <w:t> </w:t>
            </w:r>
          </w:p>
        </w:tc>
        <w:tc>
          <w:tcPr>
            <w:tcW w:w="2672" w:type="dxa"/>
            <w:tcBorders>
              <w:top w:val="nil"/>
              <w:left w:val="single" w:sz="4" w:space="0" w:color="auto"/>
              <w:bottom w:val="nil"/>
              <w:right w:val="single" w:sz="4" w:space="0" w:color="auto"/>
            </w:tcBorders>
            <w:shd w:val="clear" w:color="auto" w:fill="auto"/>
            <w:noWrap/>
            <w:vAlign w:val="bottom"/>
            <w:hideMark/>
          </w:tcPr>
          <w:p w:rsidR="00907F51" w:rsidRPr="00907F51" w:rsidRDefault="00907F51">
            <w:pPr>
              <w:rPr>
                <w:rFonts w:ascii="Microsoft Sans Serif" w:hAnsi="Microsoft Sans Serif" w:cs="Microsoft Sans Serif"/>
              </w:rPr>
            </w:pPr>
            <w:r w:rsidRPr="00907F51">
              <w:rPr>
                <w:rFonts w:ascii="Microsoft Sans Serif" w:hAnsi="Microsoft Sans Serif" w:cs="Microsoft Sans Serif"/>
              </w:rPr>
              <w:t> </w:t>
            </w:r>
          </w:p>
        </w:tc>
        <w:tc>
          <w:tcPr>
            <w:tcW w:w="520"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2032" w:type="dxa"/>
            <w:tcBorders>
              <w:top w:val="nil"/>
              <w:left w:val="single" w:sz="8" w:space="0" w:color="auto"/>
              <w:bottom w:val="single" w:sz="4" w:space="0" w:color="auto"/>
              <w:right w:val="single" w:sz="4" w:space="0" w:color="auto"/>
            </w:tcBorders>
            <w:shd w:val="clear" w:color="auto" w:fill="auto"/>
            <w:noWrap/>
            <w:vAlign w:val="bottom"/>
            <w:hideMark/>
          </w:tcPr>
          <w:p w:rsidR="00907F51" w:rsidRPr="00907F51" w:rsidRDefault="00907F51">
            <w:pPr>
              <w:rPr>
                <w:rFonts w:ascii="Microsoft Sans Serif" w:hAnsi="Microsoft Sans Serif" w:cs="Microsoft Sans Serif"/>
                <w:b/>
                <w:bCs/>
              </w:rPr>
            </w:pPr>
            <w:r w:rsidRPr="00907F51">
              <w:rPr>
                <w:rFonts w:ascii="Microsoft Sans Serif" w:hAnsi="Microsoft Sans Serif" w:cs="Microsoft Sans Serif"/>
                <w:b/>
                <w:bCs/>
              </w:rPr>
              <w:t> </w:t>
            </w:r>
          </w:p>
        </w:tc>
        <w:tc>
          <w:tcPr>
            <w:tcW w:w="1559" w:type="dxa"/>
            <w:tcBorders>
              <w:top w:val="nil"/>
              <w:left w:val="nil"/>
              <w:bottom w:val="single" w:sz="4" w:space="0" w:color="auto"/>
              <w:right w:val="single" w:sz="4" w:space="0" w:color="auto"/>
            </w:tcBorders>
            <w:shd w:val="clear" w:color="auto" w:fill="auto"/>
            <w:noWrap/>
            <w:vAlign w:val="bottom"/>
            <w:hideMark/>
          </w:tcPr>
          <w:p w:rsidR="00907F51" w:rsidRPr="00907F51" w:rsidRDefault="00907F51">
            <w:pPr>
              <w:rPr>
                <w:rFonts w:ascii="Microsoft Sans Serif" w:hAnsi="Microsoft Sans Serif" w:cs="Microsoft Sans Serif"/>
                <w:b/>
                <w:bCs/>
              </w:rPr>
            </w:pPr>
            <w:r w:rsidRPr="00907F51">
              <w:rPr>
                <w:rFonts w:ascii="Microsoft Sans Serif" w:hAnsi="Microsoft Sans Serif" w:cs="Microsoft Sans Serif"/>
                <w:b/>
                <w:bCs/>
              </w:rPr>
              <w:t> </w:t>
            </w:r>
          </w:p>
        </w:tc>
        <w:tc>
          <w:tcPr>
            <w:tcW w:w="1419" w:type="dxa"/>
            <w:tcBorders>
              <w:top w:val="nil"/>
              <w:left w:val="nil"/>
              <w:bottom w:val="single" w:sz="4" w:space="0" w:color="auto"/>
              <w:right w:val="single" w:sz="8" w:space="0" w:color="auto"/>
            </w:tcBorders>
            <w:shd w:val="clear" w:color="auto" w:fill="auto"/>
            <w:noWrap/>
            <w:vAlign w:val="bottom"/>
            <w:hideMark/>
          </w:tcPr>
          <w:p w:rsidR="00907F51" w:rsidRPr="00907F51" w:rsidRDefault="00907F51">
            <w:pPr>
              <w:jc w:val="center"/>
              <w:rPr>
                <w:rFonts w:ascii="Microsoft Sans Serif" w:hAnsi="Microsoft Sans Serif" w:cs="Microsoft Sans Serif"/>
                <w:b/>
                <w:bCs/>
              </w:rPr>
            </w:pPr>
            <w:r w:rsidRPr="00907F51">
              <w:rPr>
                <w:rFonts w:ascii="Microsoft Sans Serif" w:hAnsi="Microsoft Sans Serif" w:cs="Microsoft Sans Serif"/>
                <w:b/>
                <w:bCs/>
              </w:rPr>
              <w:t> </w:t>
            </w:r>
          </w:p>
        </w:tc>
      </w:tr>
      <w:tr w:rsidR="00907F51" w:rsidTr="00907F51">
        <w:trPr>
          <w:trHeight w:val="270"/>
        </w:trPr>
        <w:tc>
          <w:tcPr>
            <w:tcW w:w="3140" w:type="dxa"/>
            <w:tcBorders>
              <w:top w:val="single" w:sz="4" w:space="0" w:color="auto"/>
              <w:left w:val="single" w:sz="4" w:space="0" w:color="auto"/>
              <w:bottom w:val="double" w:sz="6" w:space="0" w:color="auto"/>
              <w:right w:val="nil"/>
            </w:tcBorders>
            <w:shd w:val="clear" w:color="auto" w:fill="auto"/>
            <w:noWrap/>
            <w:vAlign w:val="bottom"/>
            <w:hideMark/>
          </w:tcPr>
          <w:p w:rsidR="00907F51" w:rsidRPr="00907F51" w:rsidRDefault="00907F51">
            <w:pPr>
              <w:rPr>
                <w:rFonts w:ascii="Microsoft Sans Serif" w:hAnsi="Microsoft Sans Serif" w:cs="Microsoft Sans Serif"/>
                <w:b/>
                <w:bCs/>
                <w:color w:val="000000"/>
              </w:rPr>
            </w:pPr>
            <w:r w:rsidRPr="00907F51">
              <w:rPr>
                <w:rFonts w:ascii="Microsoft Sans Serif" w:hAnsi="Microsoft Sans Serif" w:cs="Microsoft Sans Serif"/>
                <w:b/>
                <w:bCs/>
                <w:color w:val="000000"/>
              </w:rPr>
              <w:t xml:space="preserve"> Divide Net Precept by Tax Base  </w:t>
            </w:r>
          </w:p>
        </w:tc>
        <w:tc>
          <w:tcPr>
            <w:tcW w:w="2672"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907F51" w:rsidRPr="00907F51" w:rsidRDefault="00907F51">
            <w:pPr>
              <w:rPr>
                <w:rFonts w:ascii="Microsoft Sans Serif" w:hAnsi="Microsoft Sans Serif" w:cs="Microsoft Sans Serif"/>
                <w:b/>
                <w:bCs/>
              </w:rPr>
            </w:pPr>
            <w:r w:rsidRPr="00907F51">
              <w:rPr>
                <w:rFonts w:ascii="Microsoft Sans Serif" w:hAnsi="Microsoft Sans Serif" w:cs="Microsoft Sans Serif"/>
                <w:b/>
                <w:bCs/>
              </w:rPr>
              <w:t xml:space="preserve"> £     136.74 </w:t>
            </w:r>
          </w:p>
        </w:tc>
        <w:tc>
          <w:tcPr>
            <w:tcW w:w="520"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b/>
                <w:bCs/>
                <w:color w:val="FF0000"/>
              </w:rPr>
            </w:pPr>
            <w:r w:rsidRPr="00907F51">
              <w:rPr>
                <w:rFonts w:ascii="Microsoft Sans Serif" w:hAnsi="Microsoft Sans Serif" w:cs="Microsoft Sans Serif"/>
                <w:b/>
                <w:bCs/>
                <w:color w:val="FF0000"/>
              </w:rPr>
              <w:t>D)</w:t>
            </w:r>
          </w:p>
        </w:tc>
        <w:tc>
          <w:tcPr>
            <w:tcW w:w="2032" w:type="dxa"/>
            <w:tcBorders>
              <w:top w:val="nil"/>
              <w:left w:val="single" w:sz="8" w:space="0" w:color="auto"/>
              <w:bottom w:val="single" w:sz="8" w:space="0" w:color="auto"/>
              <w:right w:val="single" w:sz="4" w:space="0" w:color="auto"/>
            </w:tcBorders>
            <w:shd w:val="clear" w:color="auto" w:fill="auto"/>
            <w:noWrap/>
            <w:vAlign w:val="bottom"/>
            <w:hideMark/>
          </w:tcPr>
          <w:p w:rsidR="00907F51" w:rsidRPr="00907F51" w:rsidRDefault="00907F51">
            <w:pPr>
              <w:rPr>
                <w:rFonts w:ascii="Microsoft Sans Serif" w:hAnsi="Microsoft Sans Serif" w:cs="Microsoft Sans Serif"/>
                <w:b/>
                <w:bCs/>
                <w:color w:val="C0C0C0"/>
              </w:rPr>
            </w:pPr>
            <w:r w:rsidRPr="00907F51">
              <w:rPr>
                <w:rFonts w:ascii="Microsoft Sans Serif" w:hAnsi="Microsoft Sans Serif" w:cs="Microsoft Sans Serif"/>
                <w:b/>
                <w:bCs/>
                <w:color w:val="C0C0C0"/>
              </w:rPr>
              <w:t xml:space="preserve"> £         126.63 </w:t>
            </w:r>
          </w:p>
        </w:tc>
        <w:tc>
          <w:tcPr>
            <w:tcW w:w="1559" w:type="dxa"/>
            <w:tcBorders>
              <w:top w:val="nil"/>
              <w:left w:val="nil"/>
              <w:bottom w:val="single" w:sz="8" w:space="0" w:color="auto"/>
              <w:right w:val="single" w:sz="4" w:space="0" w:color="auto"/>
            </w:tcBorders>
            <w:shd w:val="clear" w:color="auto" w:fill="auto"/>
            <w:noWrap/>
            <w:vAlign w:val="bottom"/>
            <w:hideMark/>
          </w:tcPr>
          <w:p w:rsidR="00907F51" w:rsidRPr="00907F51" w:rsidRDefault="00907F51">
            <w:pPr>
              <w:rPr>
                <w:rFonts w:ascii="Microsoft Sans Serif" w:hAnsi="Microsoft Sans Serif" w:cs="Microsoft Sans Serif"/>
                <w:b/>
                <w:bCs/>
              </w:rPr>
            </w:pPr>
            <w:r w:rsidRPr="00907F51">
              <w:rPr>
                <w:rFonts w:ascii="Microsoft Sans Serif" w:hAnsi="Microsoft Sans Serif" w:cs="Microsoft Sans Serif"/>
                <w:b/>
                <w:bCs/>
              </w:rPr>
              <w:t xml:space="preserve"> £      10.11 </w:t>
            </w:r>
          </w:p>
        </w:tc>
        <w:tc>
          <w:tcPr>
            <w:tcW w:w="1419" w:type="dxa"/>
            <w:tcBorders>
              <w:top w:val="nil"/>
              <w:left w:val="nil"/>
              <w:bottom w:val="single" w:sz="8" w:space="0" w:color="auto"/>
              <w:right w:val="single" w:sz="8" w:space="0" w:color="auto"/>
            </w:tcBorders>
            <w:shd w:val="clear" w:color="auto" w:fill="auto"/>
            <w:noWrap/>
            <w:vAlign w:val="bottom"/>
            <w:hideMark/>
          </w:tcPr>
          <w:p w:rsidR="00907F51" w:rsidRPr="00907F51" w:rsidRDefault="00907F51">
            <w:pPr>
              <w:jc w:val="center"/>
              <w:rPr>
                <w:rFonts w:ascii="Microsoft Sans Serif" w:hAnsi="Microsoft Sans Serif" w:cs="Microsoft Sans Serif"/>
              </w:rPr>
            </w:pPr>
            <w:r w:rsidRPr="00907F51">
              <w:rPr>
                <w:rFonts w:ascii="Microsoft Sans Serif" w:hAnsi="Microsoft Sans Serif" w:cs="Microsoft Sans Serif"/>
              </w:rPr>
              <w:t>7.98%</w:t>
            </w:r>
          </w:p>
        </w:tc>
      </w:tr>
      <w:tr w:rsidR="00907F51" w:rsidTr="00907F51">
        <w:trPr>
          <w:trHeight w:val="270"/>
        </w:trPr>
        <w:tc>
          <w:tcPr>
            <w:tcW w:w="3140"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rPr>
            </w:pPr>
          </w:p>
        </w:tc>
        <w:tc>
          <w:tcPr>
            <w:tcW w:w="2672"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520" w:type="dxa"/>
            <w:tcBorders>
              <w:top w:val="nil"/>
              <w:left w:val="nil"/>
              <w:bottom w:val="nil"/>
              <w:right w:val="nil"/>
            </w:tcBorders>
            <w:shd w:val="clear" w:color="auto" w:fill="auto"/>
            <w:noWrap/>
            <w:vAlign w:val="bottom"/>
            <w:hideMark/>
          </w:tcPr>
          <w:p w:rsidR="00907F51" w:rsidRPr="00907F51" w:rsidRDefault="00907F51">
            <w:pPr>
              <w:rPr>
                <w:rFonts w:ascii="Microsoft Sans Serif" w:hAnsi="Microsoft Sans Serif" w:cs="Microsoft Sans Serif"/>
              </w:rPr>
            </w:pPr>
          </w:p>
        </w:tc>
        <w:tc>
          <w:tcPr>
            <w:tcW w:w="2032"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b/>
                <w:bCs/>
                <w:color w:val="FF0000"/>
              </w:rPr>
            </w:pPr>
            <w:r w:rsidRPr="00907F51">
              <w:rPr>
                <w:rFonts w:ascii="Microsoft Sans Serif" w:hAnsi="Microsoft Sans Serif" w:cs="Microsoft Sans Serif"/>
                <w:b/>
                <w:bCs/>
                <w:color w:val="FF0000"/>
              </w:rPr>
              <w:t>E)</w:t>
            </w:r>
          </w:p>
        </w:tc>
        <w:tc>
          <w:tcPr>
            <w:tcW w:w="155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b/>
                <w:bCs/>
                <w:color w:val="FF0000"/>
              </w:rPr>
            </w:pPr>
            <w:r w:rsidRPr="00907F51">
              <w:rPr>
                <w:rFonts w:ascii="Microsoft Sans Serif" w:hAnsi="Microsoft Sans Serif" w:cs="Microsoft Sans Serif"/>
                <w:b/>
                <w:bCs/>
                <w:color w:val="FF0000"/>
              </w:rPr>
              <w:t>F)</w:t>
            </w:r>
          </w:p>
        </w:tc>
        <w:tc>
          <w:tcPr>
            <w:tcW w:w="1419" w:type="dxa"/>
            <w:tcBorders>
              <w:top w:val="nil"/>
              <w:left w:val="nil"/>
              <w:bottom w:val="nil"/>
              <w:right w:val="nil"/>
            </w:tcBorders>
            <w:shd w:val="clear" w:color="auto" w:fill="auto"/>
            <w:noWrap/>
            <w:vAlign w:val="bottom"/>
            <w:hideMark/>
          </w:tcPr>
          <w:p w:rsidR="00907F51" w:rsidRPr="00907F51" w:rsidRDefault="00907F51">
            <w:pPr>
              <w:jc w:val="center"/>
              <w:rPr>
                <w:rFonts w:ascii="Microsoft Sans Serif" w:hAnsi="Microsoft Sans Serif" w:cs="Microsoft Sans Serif"/>
                <w:b/>
                <w:bCs/>
                <w:color w:val="FF0000"/>
              </w:rPr>
            </w:pPr>
            <w:r w:rsidRPr="00907F51">
              <w:rPr>
                <w:rFonts w:ascii="Microsoft Sans Serif" w:hAnsi="Microsoft Sans Serif" w:cs="Microsoft Sans Serif"/>
                <w:b/>
                <w:bCs/>
                <w:color w:val="FF0000"/>
              </w:rPr>
              <w:t>G)</w:t>
            </w:r>
          </w:p>
        </w:tc>
      </w:tr>
    </w:tbl>
    <w:p w:rsidR="00907F51" w:rsidRDefault="00907F51" w:rsidP="000F1E23">
      <w:pPr>
        <w:rPr>
          <w:rFonts w:ascii="Microsoft Sans Serif" w:hAnsi="Microsoft Sans Serif" w:cs="Microsoft Sans Serif"/>
        </w:rPr>
      </w:pPr>
    </w:p>
    <w:p w:rsidR="000F1E23" w:rsidRDefault="000F1E23" w:rsidP="000F1E23">
      <w:pPr>
        <w:rPr>
          <w:rFonts w:ascii="Microsoft Sans Serif" w:hAnsi="Microsoft Sans Serif" w:cs="Microsoft Sans Serif"/>
        </w:rPr>
      </w:pPr>
    </w:p>
    <w:p w:rsidR="00907F51" w:rsidRDefault="000F1E23" w:rsidP="000F1E23">
      <w:pPr>
        <w:rPr>
          <w:rFonts w:ascii="Microsoft Sans Serif" w:hAnsi="Microsoft Sans Serif" w:cs="Microsoft Sans Serif"/>
        </w:rPr>
      </w:pPr>
      <w:r>
        <w:rPr>
          <w:rFonts w:ascii="Microsoft Sans Serif" w:hAnsi="Microsoft Sans Serif" w:cs="Microsoft Sans Serif"/>
        </w:rPr>
        <w:t>The 20</w:t>
      </w:r>
      <w:r w:rsidR="003D4852">
        <w:rPr>
          <w:rFonts w:ascii="Microsoft Sans Serif" w:hAnsi="Microsoft Sans Serif" w:cs="Microsoft Sans Serif"/>
        </w:rPr>
        <w:t>2</w:t>
      </w:r>
      <w:r w:rsidR="00893DB3">
        <w:rPr>
          <w:rFonts w:ascii="Microsoft Sans Serif" w:hAnsi="Microsoft Sans Serif" w:cs="Microsoft Sans Serif"/>
        </w:rPr>
        <w:t>3/24</w:t>
      </w:r>
      <w:r w:rsidR="003D4852">
        <w:rPr>
          <w:rFonts w:ascii="Microsoft Sans Serif" w:hAnsi="Microsoft Sans Serif" w:cs="Microsoft Sans Serif"/>
        </w:rPr>
        <w:t xml:space="preserve"> </w:t>
      </w:r>
      <w:r>
        <w:rPr>
          <w:rFonts w:ascii="Microsoft Sans Serif" w:hAnsi="Microsoft Sans Serif" w:cs="Microsoft Sans Serif"/>
        </w:rPr>
        <w:t xml:space="preserve">figure </w:t>
      </w:r>
      <w:r w:rsidR="00556758">
        <w:rPr>
          <w:rFonts w:ascii="Microsoft Sans Serif" w:hAnsi="Microsoft Sans Serif" w:cs="Microsoft Sans Serif"/>
        </w:rPr>
        <w:t>wa</w:t>
      </w:r>
      <w:r>
        <w:rPr>
          <w:rFonts w:ascii="Microsoft Sans Serif" w:hAnsi="Microsoft Sans Serif" w:cs="Microsoft Sans Serif"/>
        </w:rPr>
        <w:t>s £1</w:t>
      </w:r>
      <w:r w:rsidR="003D4852">
        <w:rPr>
          <w:rFonts w:ascii="Microsoft Sans Serif" w:hAnsi="Microsoft Sans Serif" w:cs="Microsoft Sans Serif"/>
        </w:rPr>
        <w:t>2</w:t>
      </w:r>
      <w:r w:rsidR="00907F51">
        <w:rPr>
          <w:rFonts w:ascii="Microsoft Sans Serif" w:hAnsi="Microsoft Sans Serif" w:cs="Microsoft Sans Serif"/>
        </w:rPr>
        <w:t>6.63</w:t>
      </w:r>
      <w:r>
        <w:rPr>
          <w:rFonts w:ascii="Microsoft Sans Serif" w:hAnsi="Microsoft Sans Serif" w:cs="Microsoft Sans Serif"/>
        </w:rPr>
        <w:t xml:space="preserve"> (shown as </w:t>
      </w:r>
      <w:r w:rsidR="00A26E77">
        <w:rPr>
          <w:rFonts w:ascii="Microsoft Sans Serif" w:hAnsi="Microsoft Sans Serif" w:cs="Microsoft Sans Serif"/>
        </w:rPr>
        <w:t>E</w:t>
      </w:r>
      <w:r>
        <w:rPr>
          <w:rFonts w:ascii="Microsoft Sans Serif" w:hAnsi="Microsoft Sans Serif" w:cs="Microsoft Sans Serif"/>
        </w:rPr>
        <w:t>) on</w:t>
      </w:r>
      <w:r w:rsidR="00907F51">
        <w:rPr>
          <w:rFonts w:ascii="Microsoft Sans Serif" w:hAnsi="Microsoft Sans Serif" w:cs="Microsoft Sans Serif"/>
        </w:rPr>
        <w:t xml:space="preserve"> the above table</w:t>
      </w:r>
      <w:r>
        <w:rPr>
          <w:rFonts w:ascii="Microsoft Sans Serif" w:hAnsi="Microsoft Sans Serif" w:cs="Microsoft Sans Serif"/>
        </w:rPr>
        <w:t xml:space="preserve">), this leads to an increase of </w:t>
      </w:r>
      <w:r w:rsidR="003D4852">
        <w:rPr>
          <w:rFonts w:ascii="Microsoft Sans Serif" w:hAnsi="Microsoft Sans Serif" w:cs="Microsoft Sans Serif"/>
        </w:rPr>
        <w:t>£</w:t>
      </w:r>
      <w:r w:rsidR="00907F51">
        <w:rPr>
          <w:rFonts w:ascii="Microsoft Sans Serif" w:hAnsi="Microsoft Sans Serif" w:cs="Microsoft Sans Serif"/>
        </w:rPr>
        <w:t>10.11 for the year</w:t>
      </w:r>
      <w:r>
        <w:rPr>
          <w:rFonts w:ascii="Microsoft Sans Serif" w:hAnsi="Microsoft Sans Serif" w:cs="Microsoft Sans Serif"/>
        </w:rPr>
        <w:t xml:space="preserve"> (shown as </w:t>
      </w:r>
      <w:r w:rsidR="00A26E77">
        <w:rPr>
          <w:rFonts w:ascii="Microsoft Sans Serif" w:hAnsi="Microsoft Sans Serif" w:cs="Microsoft Sans Serif"/>
        </w:rPr>
        <w:t>F</w:t>
      </w:r>
      <w:r w:rsidR="00907F51">
        <w:rPr>
          <w:rFonts w:ascii="Microsoft Sans Serif" w:hAnsi="Microsoft Sans Serif" w:cs="Microsoft Sans Serif"/>
        </w:rPr>
        <w:t xml:space="preserve"> in the table above</w:t>
      </w:r>
      <w:r>
        <w:rPr>
          <w:rFonts w:ascii="Microsoft Sans Serif" w:hAnsi="Microsoft Sans Serif" w:cs="Microsoft Sans Serif"/>
        </w:rPr>
        <w:t xml:space="preserve">), a percentage increase of </w:t>
      </w:r>
      <w:r w:rsidR="00907F51">
        <w:rPr>
          <w:rFonts w:ascii="Microsoft Sans Serif" w:hAnsi="Microsoft Sans Serif" w:cs="Microsoft Sans Serif"/>
        </w:rPr>
        <w:t>7.98</w:t>
      </w:r>
      <w:r w:rsidR="003D4852">
        <w:rPr>
          <w:rFonts w:ascii="Microsoft Sans Serif" w:hAnsi="Microsoft Sans Serif" w:cs="Microsoft Sans Serif"/>
        </w:rPr>
        <w:t>%</w:t>
      </w:r>
      <w:r w:rsidR="00556758">
        <w:rPr>
          <w:rFonts w:ascii="Microsoft Sans Serif" w:hAnsi="Microsoft Sans Serif" w:cs="Microsoft Sans Serif"/>
        </w:rPr>
        <w:t xml:space="preserve"> (shown as G</w:t>
      </w:r>
      <w:r>
        <w:rPr>
          <w:rFonts w:ascii="Microsoft Sans Serif" w:hAnsi="Microsoft Sans Serif" w:cs="Microsoft Sans Serif"/>
        </w:rPr>
        <w:t xml:space="preserve">) </w:t>
      </w:r>
      <w:r w:rsidR="00907F51">
        <w:rPr>
          <w:rFonts w:ascii="Microsoft Sans Serif" w:hAnsi="Microsoft Sans Serif" w:cs="Microsoft Sans Serif"/>
        </w:rPr>
        <w:t>in the table above</w:t>
      </w:r>
      <w:r w:rsidR="00F814EB">
        <w:rPr>
          <w:rFonts w:ascii="Microsoft Sans Serif" w:hAnsi="Microsoft Sans Serif" w:cs="Microsoft Sans Serif"/>
        </w:rPr>
        <w:t>)</w:t>
      </w:r>
      <w:r w:rsidR="00907F51">
        <w:rPr>
          <w:rFonts w:ascii="Microsoft Sans Serif" w:hAnsi="Microsoft Sans Serif" w:cs="Microsoft Sans Serif"/>
        </w:rPr>
        <w:t xml:space="preserve">. This allows for a £30,000 increase in reserves, as well as other inflationary increases. </w:t>
      </w:r>
    </w:p>
    <w:p w:rsidR="00907F51" w:rsidRDefault="00907F51" w:rsidP="000F1E23">
      <w:pPr>
        <w:rPr>
          <w:rFonts w:ascii="Microsoft Sans Serif" w:hAnsi="Microsoft Sans Serif" w:cs="Microsoft Sans Serif"/>
        </w:rPr>
      </w:pPr>
    </w:p>
    <w:p w:rsidR="00A46E46" w:rsidRDefault="00A46E46" w:rsidP="00A46E46">
      <w:pPr>
        <w:rPr>
          <w:rFonts w:ascii="Microsoft Sans Serif" w:hAnsi="Microsoft Sans Serif" w:cs="Microsoft Sans Serif"/>
        </w:rPr>
      </w:pPr>
      <w:r>
        <w:rPr>
          <w:rFonts w:ascii="Microsoft Sans Serif" w:hAnsi="Microsoft Sans Serif" w:cs="Microsoft Sans Serif"/>
        </w:rPr>
        <w:t>The recommendation from the Finance &amp; General Purposes committee is as follows</w:t>
      </w:r>
      <w:r w:rsidR="00350308">
        <w:rPr>
          <w:rFonts w:ascii="Microsoft Sans Serif" w:hAnsi="Microsoft Sans Serif" w:cs="Microsoft Sans Serif"/>
        </w:rPr>
        <w:t>;</w:t>
      </w:r>
    </w:p>
    <w:p w:rsidR="00350308" w:rsidRDefault="00350308" w:rsidP="00A46E46">
      <w:pPr>
        <w:rPr>
          <w:rFonts w:ascii="Microsoft Sans Serif" w:hAnsi="Microsoft Sans Serif" w:cs="Microsoft Sans Serif"/>
        </w:rPr>
      </w:pPr>
    </w:p>
    <w:p w:rsidR="000C22DE" w:rsidRPr="000C22DE" w:rsidRDefault="000C22DE" w:rsidP="000C22DE">
      <w:pPr>
        <w:pStyle w:val="ListParagraph"/>
        <w:numPr>
          <w:ilvl w:val="0"/>
          <w:numId w:val="22"/>
        </w:numPr>
        <w:rPr>
          <w:rFonts w:ascii="Microsoft Sans Serif" w:hAnsi="Microsoft Sans Serif" w:cs="Microsoft Sans Serif"/>
        </w:rPr>
      </w:pPr>
      <w:r w:rsidRPr="000C22DE">
        <w:rPr>
          <w:rFonts w:ascii="Microsoft Sans Serif" w:hAnsi="Microsoft Sans Serif" w:cs="Microsoft Sans Serif"/>
          <w:b/>
        </w:rPr>
        <w:t xml:space="preserve">That the </w:t>
      </w:r>
      <w:r>
        <w:rPr>
          <w:rFonts w:ascii="Microsoft Sans Serif" w:hAnsi="Microsoft Sans Serif" w:cs="Microsoft Sans Serif"/>
          <w:b/>
        </w:rPr>
        <w:t>Council Manag</w:t>
      </w:r>
      <w:bookmarkStart w:id="0" w:name="_GoBack"/>
      <w:bookmarkEnd w:id="0"/>
      <w:r>
        <w:rPr>
          <w:rFonts w:ascii="Microsoft Sans Serif" w:hAnsi="Microsoft Sans Serif" w:cs="Microsoft Sans Serif"/>
          <w:b/>
        </w:rPr>
        <w:t>er info</w:t>
      </w:r>
      <w:r w:rsidRPr="000C22DE">
        <w:rPr>
          <w:rFonts w:ascii="Microsoft Sans Serif" w:hAnsi="Microsoft Sans Serif" w:cs="Microsoft Sans Serif"/>
          <w:b/>
        </w:rPr>
        <w:t>rms H</w:t>
      </w:r>
      <w:r>
        <w:rPr>
          <w:rFonts w:ascii="Microsoft Sans Serif" w:hAnsi="Microsoft Sans Serif" w:cs="Microsoft Sans Serif"/>
          <w:b/>
        </w:rPr>
        <w:t xml:space="preserve">BC (the Council tax collector) </w:t>
      </w:r>
      <w:r w:rsidRPr="000C22DE">
        <w:rPr>
          <w:rFonts w:ascii="Microsoft Sans Serif" w:hAnsi="Microsoft Sans Serif" w:cs="Microsoft Sans Serif"/>
          <w:b/>
        </w:rPr>
        <w:t>that the APC precept demand for 202</w:t>
      </w:r>
      <w:r w:rsidR="00707211">
        <w:rPr>
          <w:rFonts w:ascii="Microsoft Sans Serif" w:hAnsi="Microsoft Sans Serif" w:cs="Microsoft Sans Serif"/>
          <w:b/>
        </w:rPr>
        <w:t>4/25</w:t>
      </w:r>
      <w:r>
        <w:rPr>
          <w:rFonts w:ascii="Microsoft Sans Serif" w:hAnsi="Microsoft Sans Serif" w:cs="Microsoft Sans Serif"/>
          <w:b/>
        </w:rPr>
        <w:t xml:space="preserve"> </w:t>
      </w:r>
      <w:r w:rsidRPr="000C22DE">
        <w:rPr>
          <w:rFonts w:ascii="Microsoft Sans Serif" w:hAnsi="Microsoft Sans Serif" w:cs="Microsoft Sans Serif"/>
          <w:b/>
        </w:rPr>
        <w:t>will be £</w:t>
      </w:r>
      <w:r w:rsidR="00707211">
        <w:rPr>
          <w:rFonts w:ascii="Microsoft Sans Serif" w:hAnsi="Microsoft Sans Serif" w:cs="Microsoft Sans Serif"/>
          <w:b/>
        </w:rPr>
        <w:t>740,</w:t>
      </w:r>
      <w:r w:rsidR="00956A9F">
        <w:rPr>
          <w:rFonts w:ascii="Microsoft Sans Serif" w:hAnsi="Microsoft Sans Serif" w:cs="Microsoft Sans Serif"/>
          <w:b/>
        </w:rPr>
        <w:t>437</w:t>
      </w:r>
      <w:r w:rsidRPr="000C22DE">
        <w:rPr>
          <w:rFonts w:ascii="Microsoft Sans Serif" w:hAnsi="Microsoft Sans Serif" w:cs="Microsoft Sans Serif"/>
          <w:b/>
        </w:rPr>
        <w:t>.</w:t>
      </w:r>
    </w:p>
    <w:p w:rsidR="000C22DE" w:rsidRDefault="000C22DE" w:rsidP="000C22DE">
      <w:pPr>
        <w:rPr>
          <w:rFonts w:ascii="Verdana" w:hAnsi="Verdana"/>
        </w:rPr>
      </w:pPr>
    </w:p>
    <w:p w:rsidR="000C22DE" w:rsidRPr="000C22DE" w:rsidRDefault="000C22DE" w:rsidP="000C22DE">
      <w:pPr>
        <w:rPr>
          <w:rFonts w:ascii="Microsoft Sans Serif" w:hAnsi="Microsoft Sans Serif" w:cs="Microsoft Sans Serif"/>
        </w:rPr>
      </w:pPr>
      <w:r>
        <w:rPr>
          <w:rFonts w:ascii="Microsoft Sans Serif" w:hAnsi="Microsoft Sans Serif" w:cs="Microsoft Sans Serif"/>
        </w:rPr>
        <w:t xml:space="preserve">Members are asked to consider this report. </w:t>
      </w:r>
    </w:p>
    <w:p w:rsidR="007D75E8" w:rsidRDefault="007D75E8" w:rsidP="007D75E8">
      <w:pPr>
        <w:rPr>
          <w:rFonts w:ascii="Microsoft Sans Serif" w:hAnsi="Microsoft Sans Serif" w:cs="Microsoft Sans Serif"/>
        </w:rPr>
      </w:pPr>
    </w:p>
    <w:p w:rsidR="007D75E8" w:rsidRDefault="004B09D6" w:rsidP="000F1E23">
      <w:pPr>
        <w:rPr>
          <w:rFonts w:ascii="Microsoft Sans Serif" w:hAnsi="Microsoft Sans Serif" w:cs="Microsoft Sans Serif"/>
        </w:rPr>
      </w:pPr>
      <w:r w:rsidRPr="004B09D6">
        <w:rPr>
          <w:rFonts w:ascii="Microsoft Sans Serif" w:hAnsi="Microsoft Sans Serif" w:cs="Microsoft Sans Serif"/>
        </w:rPr>
        <w:t>Peter Evans</w:t>
      </w:r>
    </w:p>
    <w:p w:rsidR="004B09D6" w:rsidRPr="001D673F" w:rsidRDefault="004B09D6" w:rsidP="000F1E23">
      <w:pPr>
        <w:rPr>
          <w:rFonts w:ascii="Microsoft Sans Serif" w:hAnsi="Microsoft Sans Serif" w:cs="Microsoft Sans Serif"/>
        </w:rPr>
      </w:pPr>
      <w:r>
        <w:rPr>
          <w:rFonts w:ascii="Microsoft Sans Serif" w:hAnsi="Microsoft Sans Serif" w:cs="Microsoft Sans Serif"/>
        </w:rPr>
        <w:t>Council Manager</w:t>
      </w:r>
    </w:p>
    <w:p w:rsidR="001D673F" w:rsidRDefault="001D673F" w:rsidP="002F5B80">
      <w:pPr>
        <w:ind w:left="720" w:hanging="720"/>
        <w:rPr>
          <w:rFonts w:ascii="Microsoft Sans Serif" w:hAnsi="Microsoft Sans Serif" w:cs="Microsoft Sans Serif"/>
          <w:b/>
          <w:u w:val="single"/>
        </w:rPr>
      </w:pPr>
    </w:p>
    <w:p w:rsidR="00B12447" w:rsidRDefault="00B12447" w:rsidP="00A4117F">
      <w:pPr>
        <w:rPr>
          <w:rFonts w:ascii="Microsoft Sans Serif" w:hAnsi="Microsoft Sans Serif" w:cs="Microsoft Sans Serif"/>
        </w:rPr>
      </w:pPr>
    </w:p>
    <w:sectPr w:rsidR="00B12447" w:rsidSect="0056282F">
      <w:footerReference w:type="even" r:id="rId7"/>
      <w:footerReference w:type="default" r:id="rId8"/>
      <w:pgSz w:w="16838" w:h="11906" w:orient="landscape"/>
      <w:pgMar w:top="900" w:right="1440" w:bottom="92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211" w:rsidRDefault="00707211">
      <w:r>
        <w:separator/>
      </w:r>
    </w:p>
  </w:endnote>
  <w:endnote w:type="continuationSeparator" w:id="0">
    <w:p w:rsidR="00707211" w:rsidRDefault="0070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211" w:rsidRDefault="00707211" w:rsidP="00B042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7211" w:rsidRDefault="00707211" w:rsidP="00BD4C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211" w:rsidRDefault="00707211" w:rsidP="00B042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07211" w:rsidRDefault="00707211" w:rsidP="003803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211" w:rsidRDefault="00707211">
      <w:r>
        <w:separator/>
      </w:r>
    </w:p>
  </w:footnote>
  <w:footnote w:type="continuationSeparator" w:id="0">
    <w:p w:rsidR="00707211" w:rsidRDefault="00707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18EF"/>
    <w:multiLevelType w:val="hybridMultilevel"/>
    <w:tmpl w:val="D312D5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A55069"/>
    <w:multiLevelType w:val="hybridMultilevel"/>
    <w:tmpl w:val="26143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C287F"/>
    <w:multiLevelType w:val="hybridMultilevel"/>
    <w:tmpl w:val="52340E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C6391"/>
    <w:multiLevelType w:val="hybridMultilevel"/>
    <w:tmpl w:val="158288AC"/>
    <w:lvl w:ilvl="0" w:tplc="414A0E1E">
      <w:start w:val="228"/>
      <w:numFmt w:val="decimal"/>
      <w:lvlText w:val="%1."/>
      <w:lvlJc w:val="left"/>
      <w:pPr>
        <w:ind w:left="2375" w:hanging="390"/>
      </w:pPr>
      <w:rPr>
        <w:rFonts w:hint="default"/>
        <w:i w:val="0"/>
        <w:sz w:val="24"/>
      </w:rPr>
    </w:lvl>
    <w:lvl w:ilvl="1" w:tplc="08090019">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4" w15:restartNumberingAfterBreak="0">
    <w:nsid w:val="13C06121"/>
    <w:multiLevelType w:val="hybridMultilevel"/>
    <w:tmpl w:val="FEFCB1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86973"/>
    <w:multiLevelType w:val="hybridMultilevel"/>
    <w:tmpl w:val="5E545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B0614"/>
    <w:multiLevelType w:val="hybridMultilevel"/>
    <w:tmpl w:val="C64AC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E56DF"/>
    <w:multiLevelType w:val="hybridMultilevel"/>
    <w:tmpl w:val="2DEAF30C"/>
    <w:lvl w:ilvl="0" w:tplc="BB9CDC5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796F1B"/>
    <w:multiLevelType w:val="hybridMultilevel"/>
    <w:tmpl w:val="2C923D22"/>
    <w:lvl w:ilvl="0" w:tplc="D8F6D918">
      <w:start w:val="3"/>
      <w:numFmt w:val="lowerLetter"/>
      <w:lvlText w:val="%1)"/>
      <w:lvlJc w:val="left"/>
      <w:pPr>
        <w:tabs>
          <w:tab w:val="num" w:pos="1121"/>
        </w:tabs>
        <w:ind w:left="1121" w:hanging="480"/>
      </w:pPr>
      <w:rPr>
        <w:rFonts w:hint="default"/>
      </w:rPr>
    </w:lvl>
    <w:lvl w:ilvl="1" w:tplc="04090019" w:tentative="1">
      <w:start w:val="1"/>
      <w:numFmt w:val="lowerLetter"/>
      <w:lvlText w:val="%2."/>
      <w:lvlJc w:val="left"/>
      <w:pPr>
        <w:tabs>
          <w:tab w:val="num" w:pos="1721"/>
        </w:tabs>
        <w:ind w:left="1721" w:hanging="360"/>
      </w:pPr>
    </w:lvl>
    <w:lvl w:ilvl="2" w:tplc="0409001B" w:tentative="1">
      <w:start w:val="1"/>
      <w:numFmt w:val="lowerRoman"/>
      <w:lvlText w:val="%3."/>
      <w:lvlJc w:val="right"/>
      <w:pPr>
        <w:tabs>
          <w:tab w:val="num" w:pos="2441"/>
        </w:tabs>
        <w:ind w:left="2441" w:hanging="180"/>
      </w:pPr>
    </w:lvl>
    <w:lvl w:ilvl="3" w:tplc="0409000F" w:tentative="1">
      <w:start w:val="1"/>
      <w:numFmt w:val="decimal"/>
      <w:lvlText w:val="%4."/>
      <w:lvlJc w:val="left"/>
      <w:pPr>
        <w:tabs>
          <w:tab w:val="num" w:pos="3161"/>
        </w:tabs>
        <w:ind w:left="3161" w:hanging="360"/>
      </w:pPr>
    </w:lvl>
    <w:lvl w:ilvl="4" w:tplc="04090019" w:tentative="1">
      <w:start w:val="1"/>
      <w:numFmt w:val="lowerLetter"/>
      <w:lvlText w:val="%5."/>
      <w:lvlJc w:val="left"/>
      <w:pPr>
        <w:tabs>
          <w:tab w:val="num" w:pos="3881"/>
        </w:tabs>
        <w:ind w:left="3881" w:hanging="360"/>
      </w:pPr>
    </w:lvl>
    <w:lvl w:ilvl="5" w:tplc="0409001B" w:tentative="1">
      <w:start w:val="1"/>
      <w:numFmt w:val="lowerRoman"/>
      <w:lvlText w:val="%6."/>
      <w:lvlJc w:val="right"/>
      <w:pPr>
        <w:tabs>
          <w:tab w:val="num" w:pos="4601"/>
        </w:tabs>
        <w:ind w:left="4601" w:hanging="180"/>
      </w:pPr>
    </w:lvl>
    <w:lvl w:ilvl="6" w:tplc="0409000F" w:tentative="1">
      <w:start w:val="1"/>
      <w:numFmt w:val="decimal"/>
      <w:lvlText w:val="%7."/>
      <w:lvlJc w:val="left"/>
      <w:pPr>
        <w:tabs>
          <w:tab w:val="num" w:pos="5321"/>
        </w:tabs>
        <w:ind w:left="5321" w:hanging="360"/>
      </w:pPr>
    </w:lvl>
    <w:lvl w:ilvl="7" w:tplc="04090019" w:tentative="1">
      <w:start w:val="1"/>
      <w:numFmt w:val="lowerLetter"/>
      <w:lvlText w:val="%8."/>
      <w:lvlJc w:val="left"/>
      <w:pPr>
        <w:tabs>
          <w:tab w:val="num" w:pos="6041"/>
        </w:tabs>
        <w:ind w:left="6041" w:hanging="360"/>
      </w:pPr>
    </w:lvl>
    <w:lvl w:ilvl="8" w:tplc="0409001B" w:tentative="1">
      <w:start w:val="1"/>
      <w:numFmt w:val="lowerRoman"/>
      <w:lvlText w:val="%9."/>
      <w:lvlJc w:val="right"/>
      <w:pPr>
        <w:tabs>
          <w:tab w:val="num" w:pos="6761"/>
        </w:tabs>
        <w:ind w:left="6761" w:hanging="180"/>
      </w:pPr>
    </w:lvl>
  </w:abstractNum>
  <w:abstractNum w:abstractNumId="9" w15:restartNumberingAfterBreak="0">
    <w:nsid w:val="34DE7807"/>
    <w:multiLevelType w:val="hybridMultilevel"/>
    <w:tmpl w:val="E23E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C62D9"/>
    <w:multiLevelType w:val="hybridMultilevel"/>
    <w:tmpl w:val="1892D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25ABF"/>
    <w:multiLevelType w:val="hybridMultilevel"/>
    <w:tmpl w:val="1916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DC692D"/>
    <w:multiLevelType w:val="hybridMultilevel"/>
    <w:tmpl w:val="931E6DE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3665380"/>
    <w:multiLevelType w:val="hybridMultilevel"/>
    <w:tmpl w:val="0414BBBC"/>
    <w:lvl w:ilvl="0" w:tplc="45C4EC54">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195FAC"/>
    <w:multiLevelType w:val="hybridMultilevel"/>
    <w:tmpl w:val="86003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E74BF3"/>
    <w:multiLevelType w:val="hybridMultilevel"/>
    <w:tmpl w:val="827C5F48"/>
    <w:lvl w:ilvl="0" w:tplc="EBBAF034">
      <w:start w:val="1"/>
      <w:numFmt w:val="bullet"/>
      <w:lvlText w:val=""/>
      <w:lvlJc w:val="left"/>
      <w:pPr>
        <w:tabs>
          <w:tab w:val="num" w:pos="720"/>
        </w:tabs>
        <w:ind w:left="720" w:hanging="360"/>
      </w:pPr>
      <w:rPr>
        <w:rFonts w:ascii="Symbol" w:hAnsi="Symbol" w:hint="default"/>
      </w:rPr>
    </w:lvl>
    <w:lvl w:ilvl="1" w:tplc="BAD2B930">
      <w:start w:val="1"/>
      <w:numFmt w:val="decimal"/>
      <w:lvlText w:val="%2."/>
      <w:lvlJc w:val="left"/>
      <w:pPr>
        <w:tabs>
          <w:tab w:val="num" w:pos="1440"/>
        </w:tabs>
        <w:ind w:left="1440" w:hanging="360"/>
      </w:pPr>
      <w:rPr>
        <w:rFonts w:hint="default"/>
      </w:rPr>
    </w:lvl>
    <w:lvl w:ilvl="2" w:tplc="E08856EA">
      <w:start w:val="1"/>
      <w:numFmt w:val="decimal"/>
      <w:lvlText w:val="%3)"/>
      <w:lvlJc w:val="left"/>
      <w:pPr>
        <w:tabs>
          <w:tab w:val="num" w:pos="2160"/>
        </w:tabs>
        <w:ind w:left="2160" w:hanging="360"/>
      </w:pPr>
      <w:rPr>
        <w:rFonts w:hint="default"/>
      </w:rPr>
    </w:lvl>
    <w:lvl w:ilvl="3" w:tplc="E5548B10">
      <w:start w:val="1"/>
      <w:numFmt w:val="lowerLetter"/>
      <w:lvlText w:val="%4)"/>
      <w:lvlJc w:val="left"/>
      <w:pPr>
        <w:tabs>
          <w:tab w:val="num" w:pos="2880"/>
        </w:tabs>
        <w:ind w:left="2880" w:hanging="360"/>
      </w:pPr>
      <w:rPr>
        <w:rFonts w:hint="default"/>
      </w:rPr>
    </w:lvl>
    <w:lvl w:ilvl="4" w:tplc="5A06EEB8" w:tentative="1">
      <w:start w:val="1"/>
      <w:numFmt w:val="bullet"/>
      <w:lvlText w:val="o"/>
      <w:lvlJc w:val="left"/>
      <w:pPr>
        <w:tabs>
          <w:tab w:val="num" w:pos="3600"/>
        </w:tabs>
        <w:ind w:left="3600" w:hanging="360"/>
      </w:pPr>
      <w:rPr>
        <w:rFonts w:ascii="Courier New" w:hAnsi="Courier New" w:cs="Courier New" w:hint="default"/>
      </w:rPr>
    </w:lvl>
    <w:lvl w:ilvl="5" w:tplc="C87CD7BC" w:tentative="1">
      <w:start w:val="1"/>
      <w:numFmt w:val="bullet"/>
      <w:lvlText w:val=""/>
      <w:lvlJc w:val="left"/>
      <w:pPr>
        <w:tabs>
          <w:tab w:val="num" w:pos="4320"/>
        </w:tabs>
        <w:ind w:left="4320" w:hanging="360"/>
      </w:pPr>
      <w:rPr>
        <w:rFonts w:ascii="Wingdings" w:hAnsi="Wingdings" w:hint="default"/>
      </w:rPr>
    </w:lvl>
    <w:lvl w:ilvl="6" w:tplc="ECD8D060" w:tentative="1">
      <w:start w:val="1"/>
      <w:numFmt w:val="bullet"/>
      <w:lvlText w:val=""/>
      <w:lvlJc w:val="left"/>
      <w:pPr>
        <w:tabs>
          <w:tab w:val="num" w:pos="5040"/>
        </w:tabs>
        <w:ind w:left="5040" w:hanging="360"/>
      </w:pPr>
      <w:rPr>
        <w:rFonts w:ascii="Symbol" w:hAnsi="Symbol" w:hint="default"/>
      </w:rPr>
    </w:lvl>
    <w:lvl w:ilvl="7" w:tplc="B24234A8" w:tentative="1">
      <w:start w:val="1"/>
      <w:numFmt w:val="bullet"/>
      <w:lvlText w:val="o"/>
      <w:lvlJc w:val="left"/>
      <w:pPr>
        <w:tabs>
          <w:tab w:val="num" w:pos="5760"/>
        </w:tabs>
        <w:ind w:left="5760" w:hanging="360"/>
      </w:pPr>
      <w:rPr>
        <w:rFonts w:ascii="Courier New" w:hAnsi="Courier New" w:cs="Courier New" w:hint="default"/>
      </w:rPr>
    </w:lvl>
    <w:lvl w:ilvl="8" w:tplc="8B746C4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3A4564"/>
    <w:multiLevelType w:val="hybridMultilevel"/>
    <w:tmpl w:val="D2744068"/>
    <w:lvl w:ilvl="0" w:tplc="08090001">
      <w:start w:val="2"/>
      <w:numFmt w:val="lowerLetter"/>
      <w:lvlText w:val="%1)"/>
      <w:lvlJc w:val="left"/>
      <w:pPr>
        <w:tabs>
          <w:tab w:val="num" w:pos="792"/>
        </w:tabs>
        <w:ind w:left="792" w:hanging="360"/>
      </w:pPr>
      <w:rPr>
        <w:rFonts w:hint="default"/>
      </w:rPr>
    </w:lvl>
    <w:lvl w:ilvl="1" w:tplc="0809000F" w:tentative="1">
      <w:start w:val="1"/>
      <w:numFmt w:val="lowerLetter"/>
      <w:lvlText w:val="%2."/>
      <w:lvlJc w:val="left"/>
      <w:pPr>
        <w:tabs>
          <w:tab w:val="num" w:pos="1512"/>
        </w:tabs>
        <w:ind w:left="1512" w:hanging="360"/>
      </w:pPr>
    </w:lvl>
    <w:lvl w:ilvl="2" w:tplc="192ABE5C" w:tentative="1">
      <w:start w:val="1"/>
      <w:numFmt w:val="lowerRoman"/>
      <w:lvlText w:val="%3."/>
      <w:lvlJc w:val="right"/>
      <w:pPr>
        <w:tabs>
          <w:tab w:val="num" w:pos="2232"/>
        </w:tabs>
        <w:ind w:left="2232" w:hanging="180"/>
      </w:pPr>
    </w:lvl>
    <w:lvl w:ilvl="3" w:tplc="AB4855C8">
      <w:start w:val="1"/>
      <w:numFmt w:val="lowerLetter"/>
      <w:lvlText w:val="%4)"/>
      <w:lvlJc w:val="left"/>
      <w:pPr>
        <w:tabs>
          <w:tab w:val="num" w:pos="2952"/>
        </w:tabs>
        <w:ind w:left="2952" w:hanging="360"/>
      </w:pPr>
      <w:rPr>
        <w:rFonts w:ascii="Verdana" w:eastAsia="Times New Roman" w:hAnsi="Verdana" w:cs="Times New Roman" w:hint="default"/>
      </w:rPr>
    </w:lvl>
    <w:lvl w:ilvl="4" w:tplc="08090003" w:tentative="1">
      <w:start w:val="1"/>
      <w:numFmt w:val="lowerLetter"/>
      <w:lvlText w:val="%5."/>
      <w:lvlJc w:val="left"/>
      <w:pPr>
        <w:tabs>
          <w:tab w:val="num" w:pos="3672"/>
        </w:tabs>
        <w:ind w:left="3672" w:hanging="360"/>
      </w:pPr>
    </w:lvl>
    <w:lvl w:ilvl="5" w:tplc="08090005" w:tentative="1">
      <w:start w:val="1"/>
      <w:numFmt w:val="lowerRoman"/>
      <w:lvlText w:val="%6."/>
      <w:lvlJc w:val="right"/>
      <w:pPr>
        <w:tabs>
          <w:tab w:val="num" w:pos="4392"/>
        </w:tabs>
        <w:ind w:left="4392" w:hanging="180"/>
      </w:pPr>
    </w:lvl>
    <w:lvl w:ilvl="6" w:tplc="08090001" w:tentative="1">
      <w:start w:val="1"/>
      <w:numFmt w:val="decimal"/>
      <w:lvlText w:val="%7."/>
      <w:lvlJc w:val="left"/>
      <w:pPr>
        <w:tabs>
          <w:tab w:val="num" w:pos="5112"/>
        </w:tabs>
        <w:ind w:left="5112" w:hanging="360"/>
      </w:pPr>
    </w:lvl>
    <w:lvl w:ilvl="7" w:tplc="08090003" w:tentative="1">
      <w:start w:val="1"/>
      <w:numFmt w:val="lowerLetter"/>
      <w:lvlText w:val="%8."/>
      <w:lvlJc w:val="left"/>
      <w:pPr>
        <w:tabs>
          <w:tab w:val="num" w:pos="5832"/>
        </w:tabs>
        <w:ind w:left="5832" w:hanging="360"/>
      </w:pPr>
    </w:lvl>
    <w:lvl w:ilvl="8" w:tplc="08090005" w:tentative="1">
      <w:start w:val="1"/>
      <w:numFmt w:val="lowerRoman"/>
      <w:lvlText w:val="%9."/>
      <w:lvlJc w:val="right"/>
      <w:pPr>
        <w:tabs>
          <w:tab w:val="num" w:pos="6552"/>
        </w:tabs>
        <w:ind w:left="6552" w:hanging="180"/>
      </w:pPr>
    </w:lvl>
  </w:abstractNum>
  <w:abstractNum w:abstractNumId="17" w15:restartNumberingAfterBreak="0">
    <w:nsid w:val="5D7061B9"/>
    <w:multiLevelType w:val="hybridMultilevel"/>
    <w:tmpl w:val="8230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35CB2"/>
    <w:multiLevelType w:val="hybridMultilevel"/>
    <w:tmpl w:val="A3D4851C"/>
    <w:lvl w:ilvl="0" w:tplc="0E5881E4">
      <w:start w:val="1"/>
      <w:numFmt w:val="lowerLetter"/>
      <w:lvlText w:val="%1)"/>
      <w:lvlJc w:val="left"/>
      <w:pPr>
        <w:ind w:left="720" w:hanging="360"/>
      </w:pPr>
      <w:rPr>
        <w:rFonts w:ascii="Microsoft Sans Serif" w:eastAsia="Times New Roman" w:hAnsi="Microsoft Sans Serif" w:cs="Microsoft Sans Serif"/>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BF41DA"/>
    <w:multiLevelType w:val="hybridMultilevel"/>
    <w:tmpl w:val="2E1C3A36"/>
    <w:lvl w:ilvl="0" w:tplc="5C7C54E4">
      <w:start w:val="1"/>
      <w:numFmt w:val="bullet"/>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595EE9FC"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0E737AC"/>
    <w:multiLevelType w:val="hybridMultilevel"/>
    <w:tmpl w:val="0680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B2004B"/>
    <w:multiLevelType w:val="hybridMultilevel"/>
    <w:tmpl w:val="EA9E393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D383DC6"/>
    <w:multiLevelType w:val="hybridMultilevel"/>
    <w:tmpl w:val="14BA9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16"/>
  </w:num>
  <w:num w:numId="4">
    <w:abstractNumId w:val="22"/>
  </w:num>
  <w:num w:numId="5">
    <w:abstractNumId w:val="21"/>
  </w:num>
  <w:num w:numId="6">
    <w:abstractNumId w:val="13"/>
  </w:num>
  <w:num w:numId="7">
    <w:abstractNumId w:val="8"/>
  </w:num>
  <w:num w:numId="8">
    <w:abstractNumId w:val="0"/>
  </w:num>
  <w:num w:numId="9">
    <w:abstractNumId w:val="6"/>
  </w:num>
  <w:num w:numId="10">
    <w:abstractNumId w:val="5"/>
  </w:num>
  <w:num w:numId="11">
    <w:abstractNumId w:val="4"/>
  </w:num>
  <w:num w:numId="12">
    <w:abstractNumId w:val="12"/>
  </w:num>
  <w:num w:numId="13">
    <w:abstractNumId w:val="11"/>
  </w:num>
  <w:num w:numId="14">
    <w:abstractNumId w:val="20"/>
  </w:num>
  <w:num w:numId="15">
    <w:abstractNumId w:val="1"/>
  </w:num>
  <w:num w:numId="16">
    <w:abstractNumId w:val="9"/>
  </w:num>
  <w:num w:numId="17">
    <w:abstractNumId w:val="10"/>
  </w:num>
  <w:num w:numId="18">
    <w:abstractNumId w:val="14"/>
  </w:num>
  <w:num w:numId="19">
    <w:abstractNumId w:val="18"/>
  </w:num>
  <w:num w:numId="20">
    <w:abstractNumId w:val="2"/>
  </w:num>
  <w:num w:numId="21">
    <w:abstractNumId w:val="3"/>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A3"/>
    <w:rsid w:val="00005D44"/>
    <w:rsid w:val="00010018"/>
    <w:rsid w:val="000122CD"/>
    <w:rsid w:val="00017D3B"/>
    <w:rsid w:val="000246AA"/>
    <w:rsid w:val="0002519A"/>
    <w:rsid w:val="00050C52"/>
    <w:rsid w:val="00052802"/>
    <w:rsid w:val="00052881"/>
    <w:rsid w:val="00085CBE"/>
    <w:rsid w:val="00093B85"/>
    <w:rsid w:val="000B4314"/>
    <w:rsid w:val="000C22DE"/>
    <w:rsid w:val="000D1593"/>
    <w:rsid w:val="000D5158"/>
    <w:rsid w:val="000F1E23"/>
    <w:rsid w:val="00110531"/>
    <w:rsid w:val="0013638B"/>
    <w:rsid w:val="00140E62"/>
    <w:rsid w:val="00150D36"/>
    <w:rsid w:val="0017438C"/>
    <w:rsid w:val="00175BD2"/>
    <w:rsid w:val="001862C8"/>
    <w:rsid w:val="00186B77"/>
    <w:rsid w:val="00191860"/>
    <w:rsid w:val="00192151"/>
    <w:rsid w:val="001A3496"/>
    <w:rsid w:val="001C355B"/>
    <w:rsid w:val="001C5371"/>
    <w:rsid w:val="001D673F"/>
    <w:rsid w:val="001E3A3A"/>
    <w:rsid w:val="001E5422"/>
    <w:rsid w:val="001E60D2"/>
    <w:rsid w:val="0021193A"/>
    <w:rsid w:val="0022227E"/>
    <w:rsid w:val="00223F36"/>
    <w:rsid w:val="00240262"/>
    <w:rsid w:val="00286AEF"/>
    <w:rsid w:val="00291A65"/>
    <w:rsid w:val="002C7DA6"/>
    <w:rsid w:val="002D4CA3"/>
    <w:rsid w:val="002D6CD4"/>
    <w:rsid w:val="002D6DB5"/>
    <w:rsid w:val="002E008D"/>
    <w:rsid w:val="002F5B80"/>
    <w:rsid w:val="00321ED9"/>
    <w:rsid w:val="00336CD9"/>
    <w:rsid w:val="00343C02"/>
    <w:rsid w:val="00350308"/>
    <w:rsid w:val="00362324"/>
    <w:rsid w:val="003670EE"/>
    <w:rsid w:val="0038033D"/>
    <w:rsid w:val="00382DD9"/>
    <w:rsid w:val="003B48CF"/>
    <w:rsid w:val="003B4B67"/>
    <w:rsid w:val="003C1F0C"/>
    <w:rsid w:val="003D4852"/>
    <w:rsid w:val="003D4D15"/>
    <w:rsid w:val="004019D4"/>
    <w:rsid w:val="00414288"/>
    <w:rsid w:val="00414CB1"/>
    <w:rsid w:val="00436FB0"/>
    <w:rsid w:val="004421A2"/>
    <w:rsid w:val="00456C84"/>
    <w:rsid w:val="00464F0E"/>
    <w:rsid w:val="00486B9F"/>
    <w:rsid w:val="004877AC"/>
    <w:rsid w:val="004909A5"/>
    <w:rsid w:val="00496157"/>
    <w:rsid w:val="004A012C"/>
    <w:rsid w:val="004A5C9F"/>
    <w:rsid w:val="004B09D6"/>
    <w:rsid w:val="004B2188"/>
    <w:rsid w:val="004B73BF"/>
    <w:rsid w:val="004C21BF"/>
    <w:rsid w:val="004D4DE4"/>
    <w:rsid w:val="004E7CDC"/>
    <w:rsid w:val="004F7D9E"/>
    <w:rsid w:val="005140C1"/>
    <w:rsid w:val="00520AB6"/>
    <w:rsid w:val="00520BEA"/>
    <w:rsid w:val="00527017"/>
    <w:rsid w:val="0052717B"/>
    <w:rsid w:val="00527DE4"/>
    <w:rsid w:val="00556758"/>
    <w:rsid w:val="005579E8"/>
    <w:rsid w:val="0056282F"/>
    <w:rsid w:val="0059700E"/>
    <w:rsid w:val="005B1E52"/>
    <w:rsid w:val="005B323E"/>
    <w:rsid w:val="005B71DA"/>
    <w:rsid w:val="005C2916"/>
    <w:rsid w:val="005C324B"/>
    <w:rsid w:val="005F16CB"/>
    <w:rsid w:val="00610877"/>
    <w:rsid w:val="006108EC"/>
    <w:rsid w:val="00611EA0"/>
    <w:rsid w:val="00630367"/>
    <w:rsid w:val="0063237C"/>
    <w:rsid w:val="00636300"/>
    <w:rsid w:val="00641289"/>
    <w:rsid w:val="00653D17"/>
    <w:rsid w:val="00663BD6"/>
    <w:rsid w:val="00666A9E"/>
    <w:rsid w:val="00673FA7"/>
    <w:rsid w:val="00681F7E"/>
    <w:rsid w:val="006871F6"/>
    <w:rsid w:val="00695D63"/>
    <w:rsid w:val="006B3A23"/>
    <w:rsid w:val="006E33BD"/>
    <w:rsid w:val="00703E3B"/>
    <w:rsid w:val="00707211"/>
    <w:rsid w:val="007216D2"/>
    <w:rsid w:val="007402E1"/>
    <w:rsid w:val="00746F79"/>
    <w:rsid w:val="007610BB"/>
    <w:rsid w:val="0076660D"/>
    <w:rsid w:val="007715E0"/>
    <w:rsid w:val="00782C29"/>
    <w:rsid w:val="00790036"/>
    <w:rsid w:val="007D75E8"/>
    <w:rsid w:val="007E3BB0"/>
    <w:rsid w:val="007E7349"/>
    <w:rsid w:val="007E7C6A"/>
    <w:rsid w:val="008133F2"/>
    <w:rsid w:val="0083339C"/>
    <w:rsid w:val="008378A7"/>
    <w:rsid w:val="00854970"/>
    <w:rsid w:val="00867091"/>
    <w:rsid w:val="008729A6"/>
    <w:rsid w:val="00884244"/>
    <w:rsid w:val="00893DB3"/>
    <w:rsid w:val="008A46D1"/>
    <w:rsid w:val="008C4FFB"/>
    <w:rsid w:val="008C6247"/>
    <w:rsid w:val="008E04C9"/>
    <w:rsid w:val="008E0C2A"/>
    <w:rsid w:val="008E1BE5"/>
    <w:rsid w:val="008E4155"/>
    <w:rsid w:val="008E7BA8"/>
    <w:rsid w:val="008F1B6B"/>
    <w:rsid w:val="008F5840"/>
    <w:rsid w:val="009027BD"/>
    <w:rsid w:val="00905761"/>
    <w:rsid w:val="00907F51"/>
    <w:rsid w:val="009115E0"/>
    <w:rsid w:val="00911DEC"/>
    <w:rsid w:val="00916F0A"/>
    <w:rsid w:val="00932031"/>
    <w:rsid w:val="009425B1"/>
    <w:rsid w:val="00946F05"/>
    <w:rsid w:val="00956A9F"/>
    <w:rsid w:val="00962DAB"/>
    <w:rsid w:val="009646AB"/>
    <w:rsid w:val="00973E23"/>
    <w:rsid w:val="00984617"/>
    <w:rsid w:val="009E3B80"/>
    <w:rsid w:val="009E7794"/>
    <w:rsid w:val="009F7F09"/>
    <w:rsid w:val="009F7F63"/>
    <w:rsid w:val="00A00D81"/>
    <w:rsid w:val="00A02632"/>
    <w:rsid w:val="00A26E77"/>
    <w:rsid w:val="00A30CE4"/>
    <w:rsid w:val="00A4117F"/>
    <w:rsid w:val="00A46E46"/>
    <w:rsid w:val="00A656AD"/>
    <w:rsid w:val="00A756E8"/>
    <w:rsid w:val="00A92679"/>
    <w:rsid w:val="00AA3B79"/>
    <w:rsid w:val="00AB0DC5"/>
    <w:rsid w:val="00AC1EFB"/>
    <w:rsid w:val="00AC4B26"/>
    <w:rsid w:val="00AD54F5"/>
    <w:rsid w:val="00B01B08"/>
    <w:rsid w:val="00B0413D"/>
    <w:rsid w:val="00B0423B"/>
    <w:rsid w:val="00B12447"/>
    <w:rsid w:val="00B12C36"/>
    <w:rsid w:val="00B32DCF"/>
    <w:rsid w:val="00B34CA0"/>
    <w:rsid w:val="00B37FA4"/>
    <w:rsid w:val="00B51DDA"/>
    <w:rsid w:val="00B67B58"/>
    <w:rsid w:val="00B90E74"/>
    <w:rsid w:val="00BB5622"/>
    <w:rsid w:val="00BC45EC"/>
    <w:rsid w:val="00BD4C10"/>
    <w:rsid w:val="00BE72DB"/>
    <w:rsid w:val="00C047BC"/>
    <w:rsid w:val="00C17E6F"/>
    <w:rsid w:val="00C267B1"/>
    <w:rsid w:val="00C578FF"/>
    <w:rsid w:val="00C94C13"/>
    <w:rsid w:val="00CA50A2"/>
    <w:rsid w:val="00CC02FB"/>
    <w:rsid w:val="00CC39CC"/>
    <w:rsid w:val="00CC7FB9"/>
    <w:rsid w:val="00CD1F09"/>
    <w:rsid w:val="00CF281B"/>
    <w:rsid w:val="00CF476D"/>
    <w:rsid w:val="00D20FC4"/>
    <w:rsid w:val="00D23133"/>
    <w:rsid w:val="00D525D9"/>
    <w:rsid w:val="00D52DA1"/>
    <w:rsid w:val="00D66C1D"/>
    <w:rsid w:val="00D97EAF"/>
    <w:rsid w:val="00DB7829"/>
    <w:rsid w:val="00DC3E92"/>
    <w:rsid w:val="00DC436A"/>
    <w:rsid w:val="00DD1AE0"/>
    <w:rsid w:val="00DD2BA4"/>
    <w:rsid w:val="00E06992"/>
    <w:rsid w:val="00E30ADE"/>
    <w:rsid w:val="00E415F6"/>
    <w:rsid w:val="00E61DD6"/>
    <w:rsid w:val="00E67522"/>
    <w:rsid w:val="00EA2173"/>
    <w:rsid w:val="00EB728E"/>
    <w:rsid w:val="00EC0D30"/>
    <w:rsid w:val="00EC3101"/>
    <w:rsid w:val="00EE30BD"/>
    <w:rsid w:val="00EF0396"/>
    <w:rsid w:val="00EF5232"/>
    <w:rsid w:val="00F00162"/>
    <w:rsid w:val="00F10D40"/>
    <w:rsid w:val="00F17479"/>
    <w:rsid w:val="00F814EB"/>
    <w:rsid w:val="00FA7D7D"/>
    <w:rsid w:val="00FF0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B8DE6"/>
  <w15:chartTrackingRefBased/>
  <w15:docId w15:val="{2D930871-3665-4677-A274-3917E9CB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50D36"/>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0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D4C10"/>
    <w:pPr>
      <w:tabs>
        <w:tab w:val="center" w:pos="4153"/>
        <w:tab w:val="right" w:pos="8306"/>
      </w:tabs>
    </w:pPr>
  </w:style>
  <w:style w:type="character" w:styleId="PageNumber">
    <w:name w:val="page number"/>
    <w:basedOn w:val="DefaultParagraphFont"/>
    <w:rsid w:val="00BD4C10"/>
  </w:style>
  <w:style w:type="paragraph" w:styleId="BalloonText">
    <w:name w:val="Balloon Text"/>
    <w:basedOn w:val="Normal"/>
    <w:semiHidden/>
    <w:rsid w:val="00A00D81"/>
    <w:rPr>
      <w:rFonts w:ascii="Tahoma" w:hAnsi="Tahoma" w:cs="Tahoma"/>
      <w:sz w:val="16"/>
      <w:szCs w:val="16"/>
    </w:rPr>
  </w:style>
  <w:style w:type="paragraph" w:styleId="Header">
    <w:name w:val="header"/>
    <w:basedOn w:val="Normal"/>
    <w:rsid w:val="00520BEA"/>
    <w:pPr>
      <w:tabs>
        <w:tab w:val="center" w:pos="4320"/>
        <w:tab w:val="right" w:pos="8640"/>
      </w:tabs>
    </w:pPr>
  </w:style>
  <w:style w:type="table" w:styleId="TableClassic2">
    <w:name w:val="Table Classic 2"/>
    <w:basedOn w:val="TableNormal"/>
    <w:rsid w:val="00911DE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3">
    <w:name w:val="Table Columns 3"/>
    <w:basedOn w:val="TableNormal"/>
    <w:rsid w:val="00911DE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4B09D6"/>
    <w:pPr>
      <w:ind w:left="720"/>
      <w:contextualSpacing/>
    </w:pPr>
  </w:style>
  <w:style w:type="character" w:styleId="Emphasis">
    <w:name w:val="Emphasis"/>
    <w:basedOn w:val="DefaultParagraphFont"/>
    <w:uiPriority w:val="20"/>
    <w:qFormat/>
    <w:rsid w:val="004877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65076">
      <w:bodyDiv w:val="1"/>
      <w:marLeft w:val="0"/>
      <w:marRight w:val="0"/>
      <w:marTop w:val="0"/>
      <w:marBottom w:val="0"/>
      <w:divBdr>
        <w:top w:val="none" w:sz="0" w:space="0" w:color="auto"/>
        <w:left w:val="none" w:sz="0" w:space="0" w:color="auto"/>
        <w:bottom w:val="none" w:sz="0" w:space="0" w:color="auto"/>
        <w:right w:val="none" w:sz="0" w:space="0" w:color="auto"/>
      </w:divBdr>
    </w:div>
    <w:div w:id="782848187">
      <w:bodyDiv w:val="1"/>
      <w:marLeft w:val="0"/>
      <w:marRight w:val="0"/>
      <w:marTop w:val="0"/>
      <w:marBottom w:val="0"/>
      <w:divBdr>
        <w:top w:val="none" w:sz="0" w:space="0" w:color="auto"/>
        <w:left w:val="none" w:sz="0" w:space="0" w:color="auto"/>
        <w:bottom w:val="none" w:sz="0" w:space="0" w:color="auto"/>
        <w:right w:val="none" w:sz="0" w:space="0" w:color="auto"/>
      </w:divBdr>
    </w:div>
    <w:div w:id="797261776">
      <w:bodyDiv w:val="1"/>
      <w:marLeft w:val="0"/>
      <w:marRight w:val="0"/>
      <w:marTop w:val="0"/>
      <w:marBottom w:val="0"/>
      <w:divBdr>
        <w:top w:val="none" w:sz="0" w:space="0" w:color="auto"/>
        <w:left w:val="none" w:sz="0" w:space="0" w:color="auto"/>
        <w:bottom w:val="none" w:sz="0" w:space="0" w:color="auto"/>
        <w:right w:val="none" w:sz="0" w:space="0" w:color="auto"/>
      </w:divBdr>
    </w:div>
    <w:div w:id="144391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772</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APC</vt:lpstr>
    </vt:vector>
  </TitlesOfParts>
  <Company>HP</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APC</dc:title>
  <dc:subject/>
  <dc:creator>Peter Evans</dc:creator>
  <cp:keywords/>
  <cp:lastModifiedBy>Peter Evans</cp:lastModifiedBy>
  <cp:revision>6</cp:revision>
  <cp:lastPrinted>2022-01-25T15:11:00Z</cp:lastPrinted>
  <dcterms:created xsi:type="dcterms:W3CDTF">2024-01-19T11:13:00Z</dcterms:created>
  <dcterms:modified xsi:type="dcterms:W3CDTF">2024-01-22T12:47:00Z</dcterms:modified>
</cp:coreProperties>
</file>